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72FE22E" w14:textId="77777777" w:rsidTr="4EC0B56F">
        <w:trPr>
          <w:trHeight w:val="841"/>
        </w:trPr>
        <w:tc>
          <w:tcPr>
            <w:tcW w:w="7621" w:type="dxa"/>
            <w:gridSpan w:val="2"/>
            <w:shd w:val="clear" w:color="auto" w:fill="auto"/>
            <w:vAlign w:val="center"/>
          </w:tcPr>
          <w:p w14:paraId="33ED8A1B" w14:textId="069FA96F" w:rsidR="00943920" w:rsidRPr="00072577" w:rsidRDefault="7751C8AE" w:rsidP="4EC0B56F">
            <w:pPr>
              <w:pStyle w:val="Header"/>
              <w:rPr>
                <w:rFonts w:ascii="Oswald" w:hAnsi="Oswald" w:cs="Arial"/>
                <w:b/>
                <w:bCs/>
                <w:smallCaps/>
                <w:sz w:val="22"/>
                <w:szCs w:val="22"/>
              </w:rPr>
            </w:pPr>
            <w:r w:rsidRPr="4EC0B56F">
              <w:rPr>
                <w:rFonts w:ascii="Oswald" w:hAnsi="Oswald" w:cs="Arial"/>
                <w:b/>
                <w:bCs/>
                <w:smallCaps/>
                <w:sz w:val="22"/>
                <w:szCs w:val="22"/>
              </w:rPr>
              <w:t xml:space="preserve">ROLE PROFILE: </w:t>
            </w:r>
            <w:r w:rsidR="1710F854" w:rsidRPr="4EC0B56F">
              <w:rPr>
                <w:rFonts w:ascii="Oswald" w:hAnsi="Oswald" w:cs="Arial"/>
                <w:b/>
                <w:bCs/>
                <w:smallCaps/>
                <w:noProof/>
                <w:sz w:val="22"/>
                <w:szCs w:val="22"/>
              </w:rPr>
              <w:t xml:space="preserve">Specialist, </w:t>
            </w:r>
            <w:r w:rsidR="5740E8C4" w:rsidRPr="4EC0B56F">
              <w:rPr>
                <w:rFonts w:ascii="Oswald" w:hAnsi="Oswald" w:cs="Arial"/>
                <w:b/>
                <w:bCs/>
                <w:smallCaps/>
                <w:noProof/>
                <w:sz w:val="22"/>
                <w:szCs w:val="22"/>
              </w:rPr>
              <w:t xml:space="preserve">Wellbeing and </w:t>
            </w:r>
            <w:r w:rsidR="1710F854" w:rsidRPr="4EC0B56F">
              <w:rPr>
                <w:rFonts w:ascii="Oswald" w:hAnsi="Oswald" w:cs="Arial"/>
                <w:b/>
                <w:bCs/>
                <w:smallCaps/>
                <w:noProof/>
                <w:sz w:val="22"/>
                <w:szCs w:val="22"/>
              </w:rPr>
              <w:t>Engagement</w:t>
            </w:r>
          </w:p>
          <w:p w14:paraId="672A6659" w14:textId="77777777" w:rsidR="00943920" w:rsidRPr="00072577" w:rsidRDefault="00943920" w:rsidP="4EC0B56F">
            <w:pPr>
              <w:jc w:val="center"/>
              <w:rPr>
                <w:rFonts w:ascii="Arial" w:hAnsi="Arial"/>
                <w:b/>
                <w:bCs/>
                <w:sz w:val="22"/>
                <w:szCs w:val="22"/>
              </w:rPr>
            </w:pPr>
          </w:p>
        </w:tc>
        <w:tc>
          <w:tcPr>
            <w:tcW w:w="2679" w:type="dxa"/>
            <w:vMerge w:val="restart"/>
          </w:tcPr>
          <w:p w14:paraId="0A37501D" w14:textId="77777777" w:rsidR="00943920" w:rsidRPr="00072577" w:rsidRDefault="00943920" w:rsidP="4EC0B56F">
            <w:pPr>
              <w:jc w:val="right"/>
              <w:rPr>
                <w:rFonts w:ascii="Calibri" w:hAnsi="Calibri"/>
                <w:b/>
                <w:bCs/>
                <w:sz w:val="22"/>
                <w:szCs w:val="22"/>
              </w:rPr>
            </w:pPr>
          </w:p>
          <w:p w14:paraId="5DAB6C7B" w14:textId="77777777" w:rsidR="00943920" w:rsidRPr="00072577" w:rsidRDefault="0ADA9D08" w:rsidP="4EC0B56F">
            <w:pPr>
              <w:jc w:val="center"/>
              <w:rPr>
                <w:rFonts w:ascii="Calibri" w:hAnsi="Calibri"/>
                <w:sz w:val="22"/>
                <w:szCs w:val="22"/>
              </w:rPr>
            </w:pPr>
            <w:r>
              <w:rPr>
                <w:noProof/>
              </w:rPr>
              <w:drawing>
                <wp:inline distT="0" distB="0" distL="0" distR="0" wp14:anchorId="2EBCC9CA" wp14:editId="72BD6310">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100" cy="333375"/>
                          </a:xfrm>
                          <a:prstGeom prst="rect">
                            <a:avLst/>
                          </a:prstGeom>
                        </pic:spPr>
                      </pic:pic>
                    </a:graphicData>
                  </a:graphic>
                </wp:inline>
              </w:drawing>
            </w:r>
          </w:p>
        </w:tc>
      </w:tr>
      <w:tr w:rsidR="00943920" w:rsidRPr="00994C06" w14:paraId="213D5750" w14:textId="77777777" w:rsidTr="4EC0B56F">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65BE2716" w14:textId="74D543AB" w:rsidR="00943920" w:rsidRPr="005E601E" w:rsidRDefault="1710F854" w:rsidP="4EC0B56F">
            <w:pPr>
              <w:rPr>
                <w:rFonts w:ascii="Oswald" w:hAnsi="Oswald"/>
                <w:sz w:val="22"/>
                <w:szCs w:val="22"/>
              </w:rPr>
            </w:pPr>
            <w:r w:rsidRPr="4EC0B56F">
              <w:rPr>
                <w:rFonts w:ascii="Oswald" w:hAnsi="Oswald"/>
                <w:noProof/>
                <w:sz w:val="22"/>
                <w:szCs w:val="22"/>
              </w:rPr>
              <w:t xml:space="preserve">Specialist, </w:t>
            </w:r>
            <w:r w:rsidR="40A4B9A9" w:rsidRPr="4EC0B56F">
              <w:rPr>
                <w:rFonts w:ascii="Oswald" w:hAnsi="Oswald"/>
                <w:noProof/>
                <w:sz w:val="22"/>
                <w:szCs w:val="22"/>
              </w:rPr>
              <w:t xml:space="preserve">Wellbeing and </w:t>
            </w:r>
            <w:r w:rsidRPr="4EC0B56F">
              <w:rPr>
                <w:rFonts w:ascii="Oswald" w:hAnsi="Oswald"/>
                <w:noProof/>
                <w:sz w:val="22"/>
                <w:szCs w:val="22"/>
              </w:rPr>
              <w:t>Engagement</w:t>
            </w:r>
            <w:r w:rsidR="26A6A943" w:rsidRPr="4EC0B56F">
              <w:rPr>
                <w:rFonts w:ascii="Oswald" w:hAnsi="Oswald"/>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31D7D218" w14:textId="77777777" w:rsidTr="4EC0B56F">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534B3DE5" w14:textId="77777777" w:rsidR="00943920" w:rsidRDefault="1710F854" w:rsidP="4EC0B56F">
            <w:pPr>
              <w:rPr>
                <w:rFonts w:ascii="Oswald" w:hAnsi="Oswald"/>
                <w:sz w:val="22"/>
                <w:szCs w:val="22"/>
              </w:rPr>
            </w:pPr>
            <w:r w:rsidRPr="4EC0B56F">
              <w:rPr>
                <w:rFonts w:ascii="Oswald" w:hAnsi="Oswald"/>
                <w:noProof/>
                <w:sz w:val="22"/>
                <w:szCs w:val="22"/>
              </w:rPr>
              <w:t>NEW0000648</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rsidP="4EC0B56F">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633AC47" w14:textId="77777777" w:rsidTr="4EC0B56F">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42E066E1" w14:textId="7322C0B9" w:rsidR="00F64009" w:rsidRPr="005E601E" w:rsidRDefault="3CD029D4" w:rsidP="4EC0B56F">
            <w:pPr>
              <w:spacing w:line="259" w:lineRule="auto"/>
              <w:rPr>
                <w:rFonts w:ascii="Lato" w:hAnsi="Lato"/>
                <w:noProof/>
                <w:sz w:val="22"/>
                <w:szCs w:val="22"/>
              </w:rPr>
            </w:pPr>
            <w:r w:rsidRPr="4EC0B56F">
              <w:rPr>
                <w:rFonts w:ascii="Lato" w:hAnsi="Lato"/>
                <w:noProof/>
                <w:sz w:val="22"/>
                <w:szCs w:val="22"/>
              </w:rPr>
              <w:t>Health &amp; Wellbeing</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471C528" w14:textId="77777777" w:rsidR="00F64009" w:rsidRPr="005E601E" w:rsidRDefault="1710F854" w:rsidP="4EC0B56F">
            <w:pPr>
              <w:rPr>
                <w:rFonts w:ascii="Lato" w:hAnsi="Lato"/>
                <w:sz w:val="22"/>
                <w:szCs w:val="22"/>
              </w:rPr>
            </w:pPr>
            <w:r w:rsidRPr="4EC0B56F">
              <w:rPr>
                <w:rFonts w:ascii="Lato" w:hAnsi="Lato"/>
                <w:noProof/>
                <w:sz w:val="22"/>
                <w:szCs w:val="22"/>
              </w:rPr>
              <w:t>P3</w:t>
            </w:r>
          </w:p>
        </w:tc>
      </w:tr>
      <w:tr w:rsidR="00994C06" w:rsidRPr="005E601E" w14:paraId="427B8599" w14:textId="77777777" w:rsidTr="4EC0B56F">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78846E9E" w14:textId="7081349E" w:rsidR="00F64009" w:rsidRPr="005E601E" w:rsidRDefault="4AF641BE" w:rsidP="37C3D484">
            <w:pPr>
              <w:spacing w:line="259" w:lineRule="auto"/>
              <w:rPr>
                <w:rFonts w:ascii="Lato" w:hAnsi="Lato"/>
                <w:noProof/>
                <w:sz w:val="22"/>
                <w:szCs w:val="22"/>
              </w:rPr>
            </w:pPr>
            <w:r w:rsidRPr="4EC0B56F">
              <w:rPr>
                <w:rFonts w:ascii="Lato" w:hAnsi="Lato"/>
                <w:noProof/>
                <w:sz w:val="22"/>
                <w:szCs w:val="22"/>
              </w:rPr>
              <w:t xml:space="preserve">Global Head of Health &amp; Wellbeing </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1710F854" w:rsidP="4EC0B56F">
            <w:pPr>
              <w:rPr>
                <w:rFonts w:ascii="Lato" w:hAnsi="Lato"/>
                <w:sz w:val="22"/>
                <w:szCs w:val="22"/>
              </w:rPr>
            </w:pPr>
            <w:r w:rsidRPr="4EC0B56F">
              <w:rPr>
                <w:rFonts w:ascii="Lato" w:hAnsi="Lato"/>
                <w:noProof/>
                <w:sz w:val="22"/>
                <w:szCs w:val="22"/>
              </w:rPr>
              <w:t>Permanent</w:t>
            </w:r>
          </w:p>
        </w:tc>
      </w:tr>
      <w:tr w:rsidR="00BB1C79" w:rsidRPr="005E601E" w14:paraId="663D621A" w14:textId="77777777" w:rsidTr="4EC0B56F">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1710F854" w:rsidP="4EC0B56F">
            <w:pPr>
              <w:rPr>
                <w:rFonts w:ascii="Lato" w:hAnsi="Lato"/>
                <w:sz w:val="22"/>
                <w:szCs w:val="22"/>
              </w:rPr>
            </w:pPr>
            <w:r w:rsidRPr="4EC0B56F">
              <w:rPr>
                <w:rFonts w:ascii="Lato" w:hAnsi="Lato"/>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1710F854" w:rsidP="4EC0B56F">
            <w:pPr>
              <w:rPr>
                <w:rFonts w:ascii="Lato" w:hAnsi="Lato"/>
                <w:sz w:val="22"/>
                <w:szCs w:val="22"/>
              </w:rPr>
            </w:pPr>
            <w:r w:rsidRPr="4EC0B56F">
              <w:rPr>
                <w:rFonts w:ascii="Lato" w:hAnsi="Lato"/>
                <w:noProof/>
                <w:sz w:val="22"/>
                <w:szCs w:val="22"/>
              </w:rPr>
              <w:t>Any</w:t>
            </w:r>
          </w:p>
        </w:tc>
      </w:tr>
      <w:tr w:rsidR="00BB1C79" w:rsidRPr="005E601E" w14:paraId="70A8C6DC" w14:textId="77777777" w:rsidTr="4EC0B56F">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1F5E0C7E" w14:textId="77777777" w:rsidR="00BB1C79" w:rsidRDefault="1710F854" w:rsidP="4EC0B56F">
            <w:pPr>
              <w:rPr>
                <w:rFonts w:ascii="Lato" w:hAnsi="Lato"/>
                <w:sz w:val="22"/>
                <w:szCs w:val="22"/>
              </w:rPr>
            </w:pPr>
            <w:r w:rsidRPr="4EC0B56F">
              <w:rPr>
                <w:rFonts w:ascii="Lato" w:hAnsi="Lato"/>
                <w:noProof/>
                <w:sz w:val="22"/>
                <w:szCs w:val="22"/>
              </w:rPr>
              <w:t>Any</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1710F854" w:rsidP="4EC0B56F">
            <w:pPr>
              <w:rPr>
                <w:rFonts w:ascii="Lato" w:hAnsi="Lato"/>
                <w:sz w:val="22"/>
                <w:szCs w:val="22"/>
              </w:rPr>
            </w:pPr>
            <w:r w:rsidRPr="4EC0B56F">
              <w:rPr>
                <w:rFonts w:ascii="Lato" w:hAnsi="Lato"/>
                <w:noProof/>
                <w:sz w:val="22"/>
                <w:szCs w:val="22"/>
              </w:rPr>
              <w:t>1</w:t>
            </w:r>
          </w:p>
        </w:tc>
      </w:tr>
    </w:tbl>
    <w:p w14:paraId="41C8F396" w14:textId="77777777" w:rsidR="00947C69" w:rsidRPr="005E601E" w:rsidRDefault="00947C69" w:rsidP="4EC0B56F">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4EC0B56F">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2268F376" w14:textId="77777777" w:rsidTr="4EC0B56F">
        <w:trPr>
          <w:trHeight w:val="5627"/>
        </w:trPr>
        <w:tc>
          <w:tcPr>
            <w:tcW w:w="10296" w:type="dxa"/>
          </w:tcPr>
          <w:p w14:paraId="74D7D534" w14:textId="77777777" w:rsidR="00A338D7" w:rsidRPr="005E601E" w:rsidRDefault="66ECFBB3" w:rsidP="4EC0B56F">
            <w:pPr>
              <w:jc w:val="both"/>
              <w:rPr>
                <w:rFonts w:ascii="Lato" w:hAnsi="Lato"/>
                <w:b/>
                <w:bCs/>
                <w:color w:val="808080"/>
                <w:sz w:val="22"/>
                <w:szCs w:val="22"/>
              </w:rPr>
            </w:pPr>
            <w:r w:rsidRPr="4EC0B56F">
              <w:rPr>
                <w:rFonts w:ascii="Lato" w:hAnsi="Lato"/>
                <w:b/>
                <w:bCs/>
                <w:sz w:val="22"/>
                <w:szCs w:val="22"/>
              </w:rPr>
              <w:t>Team purpos</w:t>
            </w:r>
            <w:r w:rsidR="03F1E5E0" w:rsidRPr="4EC0B56F">
              <w:rPr>
                <w:rFonts w:ascii="Lato" w:hAnsi="Lato"/>
                <w:b/>
                <w:bCs/>
                <w:sz w:val="22"/>
                <w:szCs w:val="22"/>
              </w:rPr>
              <w:t>e</w:t>
            </w:r>
          </w:p>
          <w:p w14:paraId="72A3D3EC" w14:textId="05B9B56B" w:rsidR="00626423" w:rsidRPr="00033EB6" w:rsidRDefault="24E75504" w:rsidP="4EC0B56F">
            <w:pPr>
              <w:spacing w:before="240" w:after="240"/>
              <w:jc w:val="both"/>
              <w:rPr>
                <w:rFonts w:ascii="Lato" w:eastAsia="Lato" w:hAnsi="Lato" w:cs="Lato"/>
                <w:noProof/>
                <w:color w:val="000000"/>
                <w:sz w:val="22"/>
                <w:szCs w:val="22"/>
              </w:rPr>
            </w:pPr>
            <w:r w:rsidRPr="4EC0B56F">
              <w:rPr>
                <w:rFonts w:ascii="Lato" w:eastAsia="Lato" w:hAnsi="Lato" w:cs="Lato"/>
                <w:noProof/>
                <w:color w:val="000000" w:themeColor="text1"/>
                <w:sz w:val="22"/>
                <w:szCs w:val="22"/>
              </w:rPr>
              <w:t>The Health</w:t>
            </w:r>
            <w:r w:rsidR="5A17399E" w:rsidRPr="4EC0B56F">
              <w:rPr>
                <w:rFonts w:ascii="Lato" w:eastAsia="Lato" w:hAnsi="Lato" w:cs="Lato"/>
                <w:noProof/>
                <w:color w:val="000000" w:themeColor="text1"/>
                <w:sz w:val="22"/>
                <w:szCs w:val="22"/>
              </w:rPr>
              <w:t xml:space="preserve"> and </w:t>
            </w:r>
            <w:r w:rsidRPr="4EC0B56F">
              <w:rPr>
                <w:rFonts w:ascii="Lato" w:eastAsia="Lato" w:hAnsi="Lato" w:cs="Lato"/>
                <w:noProof/>
                <w:color w:val="000000" w:themeColor="text1"/>
                <w:sz w:val="22"/>
                <w:szCs w:val="22"/>
              </w:rPr>
              <w:t>Wellbeing Team exists to ensure the health, safety, and wellbeing of Save the Children’s global workforce across all operational contexts. By leading the development and implementation of evidence-based strategies, policies, and procedures, the team champions diversity, equity, inclusion, and wellbeing to create an engaged, thriving, and resilient workforce.</w:t>
            </w:r>
            <w:r w:rsidR="5C178850" w:rsidRPr="4EC0B56F">
              <w:rPr>
                <w:rFonts w:ascii="Lato" w:eastAsia="Lato" w:hAnsi="Lato" w:cs="Lato"/>
                <w:noProof/>
                <w:color w:val="000000" w:themeColor="text1"/>
                <w:sz w:val="22"/>
                <w:szCs w:val="22"/>
              </w:rPr>
              <w:t xml:space="preserve"> </w:t>
            </w:r>
            <w:r w:rsidRPr="4EC0B56F">
              <w:rPr>
                <w:rFonts w:ascii="Lato" w:eastAsia="Lato" w:hAnsi="Lato" w:cs="Lato"/>
                <w:noProof/>
                <w:color w:val="000000" w:themeColor="text1"/>
                <w:sz w:val="22"/>
                <w:szCs w:val="22"/>
              </w:rPr>
              <w:t>This team fosters a culture where every individual feels valued, respected, and empowered, while ensuring alignment with organisational goals, ethical standards, and international compliance requirements. Key focus areas include travel health, insurance frameworks, safeguarding, mental health initiatives, and medevac protocols.</w:t>
            </w:r>
            <w:r w:rsidR="3002F1CE" w:rsidRPr="4EC0B56F">
              <w:rPr>
                <w:rFonts w:ascii="Lato" w:eastAsia="Lato" w:hAnsi="Lato" w:cs="Lato"/>
                <w:noProof/>
                <w:color w:val="000000" w:themeColor="text1"/>
                <w:sz w:val="22"/>
                <w:szCs w:val="22"/>
              </w:rPr>
              <w:t xml:space="preserve"> </w:t>
            </w:r>
            <w:r w:rsidRPr="4EC0B56F">
              <w:rPr>
                <w:rFonts w:ascii="Lato" w:eastAsia="Lato" w:hAnsi="Lato" w:cs="Lato"/>
                <w:noProof/>
                <w:color w:val="000000" w:themeColor="text1"/>
                <w:sz w:val="22"/>
                <w:szCs w:val="22"/>
              </w:rPr>
              <w:t>Through collaboration with key stakeholders, such as Safeguarding, Insurance, GSS, P&amp;O, and the One Humanitarian Team, the team ensures globally aligned and integrated approaches to health, safety, and wellbeing. These efforts are designed to promote physical, mental, and emotional health across all staff, fostering a safe and supportive work environment that empowers employees to thrive and perform effectively, even in the most challenging settings.</w:t>
            </w:r>
            <w:r w:rsidR="08B0A172" w:rsidRPr="4EC0B56F">
              <w:rPr>
                <w:rFonts w:ascii="Lato" w:eastAsia="Lato" w:hAnsi="Lato" w:cs="Lato"/>
                <w:noProof/>
                <w:color w:val="000000" w:themeColor="text1"/>
                <w:sz w:val="22"/>
                <w:szCs w:val="22"/>
              </w:rPr>
              <w:t xml:space="preserve"> </w:t>
            </w:r>
            <w:r w:rsidRPr="4EC0B56F">
              <w:rPr>
                <w:rFonts w:ascii="Lato" w:eastAsia="Lato" w:hAnsi="Lato" w:cs="Lato"/>
                <w:noProof/>
                <w:color w:val="000000" w:themeColor="text1"/>
                <w:sz w:val="22"/>
                <w:szCs w:val="22"/>
              </w:rPr>
              <w:t>By aligning with international standards and organisational objectives, the Health</w:t>
            </w:r>
            <w:r w:rsidR="3C4B54B2" w:rsidRPr="4EC0B56F">
              <w:rPr>
                <w:rFonts w:ascii="Lato" w:eastAsia="Lato" w:hAnsi="Lato" w:cs="Lato"/>
                <w:noProof/>
                <w:color w:val="000000" w:themeColor="text1"/>
                <w:sz w:val="22"/>
                <w:szCs w:val="22"/>
              </w:rPr>
              <w:t xml:space="preserve"> and </w:t>
            </w:r>
            <w:r w:rsidRPr="4EC0B56F">
              <w:rPr>
                <w:rFonts w:ascii="Lato" w:eastAsia="Lato" w:hAnsi="Lato" w:cs="Lato"/>
                <w:noProof/>
                <w:color w:val="000000" w:themeColor="text1"/>
                <w:sz w:val="22"/>
                <w:szCs w:val="22"/>
              </w:rPr>
              <w:t>Wellbeing Team plays a vital role in enabling staff to deliver on Save the Children’s mission to ensure every child’s right to survival, protection, development, and participation.</w:t>
            </w:r>
          </w:p>
          <w:p w14:paraId="2AA601AB" w14:textId="77777777" w:rsidR="003C3A8B" w:rsidRPr="00033EB6" w:rsidRDefault="66ECFBB3" w:rsidP="4EC0B56F">
            <w:pPr>
              <w:jc w:val="both"/>
              <w:rPr>
                <w:rFonts w:ascii="Lato" w:hAnsi="Lato"/>
                <w:b/>
                <w:bCs/>
                <w:color w:val="000000"/>
                <w:sz w:val="22"/>
                <w:szCs w:val="22"/>
              </w:rPr>
            </w:pPr>
            <w:r w:rsidRPr="4EC0B56F">
              <w:rPr>
                <w:rFonts w:ascii="Lato" w:hAnsi="Lato"/>
                <w:b/>
                <w:bCs/>
                <w:color w:val="000000" w:themeColor="text1"/>
                <w:sz w:val="22"/>
                <w:szCs w:val="22"/>
              </w:rPr>
              <w:t>Role</w:t>
            </w:r>
            <w:r w:rsidR="6AB6BE82" w:rsidRPr="4EC0B56F">
              <w:rPr>
                <w:rFonts w:ascii="Lato" w:hAnsi="Lato"/>
                <w:b/>
                <w:bCs/>
                <w:color w:val="000000" w:themeColor="text1"/>
                <w:sz w:val="22"/>
                <w:szCs w:val="22"/>
              </w:rPr>
              <w:t xml:space="preserve"> purpose</w:t>
            </w:r>
          </w:p>
          <w:p w14:paraId="29052903" w14:textId="24E3EC5E" w:rsidR="009A5476" w:rsidRPr="005E601E" w:rsidRDefault="7D92C01E" w:rsidP="4EC0B56F">
            <w:pPr>
              <w:spacing w:before="240" w:after="240"/>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The Wellbeing and Engagement Specialist is responsible for implementing and monitoring initiatives that enhance the health, wellbeing, and engagement of Save the Children’s global workforce. This role ensures that staff wellbeing is prioritised and integrated into organisational practices, enabling employees to thrive and perform at their best.</w:t>
            </w:r>
          </w:p>
          <w:p w14:paraId="0156AA1E" w14:textId="7AC546E9" w:rsidR="009A5476" w:rsidRPr="005E601E" w:rsidRDefault="7D92C01E" w:rsidP="4EC0B56F">
            <w:pPr>
              <w:spacing w:before="240" w:after="240"/>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Working collaboratively with internal stakeholders and partners, the Specialist focuses on addressing key areas such as mental health, resilience, engagement, and inclusivity. They play a pivotal role in evaluating the effectiveness of wellbeing strategies and fostering a workplace culture that supports physical, emotional, and mental health.</w:t>
            </w:r>
          </w:p>
        </w:tc>
      </w:tr>
    </w:tbl>
    <w:p w14:paraId="0D0B940D" w14:textId="77777777" w:rsidR="005445B4" w:rsidRPr="005E601E" w:rsidRDefault="005445B4" w:rsidP="4EC0B56F">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4EC0B56F">
        <w:tc>
          <w:tcPr>
            <w:tcW w:w="10296" w:type="dxa"/>
            <w:shd w:val="clear" w:color="auto" w:fill="D5E0E1"/>
          </w:tcPr>
          <w:p w14:paraId="632CAB09" w14:textId="77777777" w:rsidR="4EC0B56F" w:rsidRDefault="4EC0B56F" w:rsidP="4EC0B56F">
            <w:pPr>
              <w:rPr>
                <w:rFonts w:ascii="Lato" w:hAnsi="Lato"/>
                <w:b/>
                <w:bCs/>
                <w:sz w:val="22"/>
                <w:szCs w:val="22"/>
              </w:rPr>
            </w:pPr>
            <w:r w:rsidRPr="4EC0B56F">
              <w:rPr>
                <w:rFonts w:ascii="Lato" w:hAnsi="Lato"/>
                <w:b/>
                <w:bCs/>
                <w:sz w:val="22"/>
                <w:szCs w:val="22"/>
              </w:rPr>
              <w:t>Principal Accountabilities</w:t>
            </w:r>
          </w:p>
        </w:tc>
      </w:tr>
      <w:tr w:rsidR="00994C06" w:rsidRPr="005E601E" w14:paraId="461BE553" w14:textId="77777777" w:rsidTr="4EC0B56F">
        <w:tc>
          <w:tcPr>
            <w:tcW w:w="10296" w:type="dxa"/>
          </w:tcPr>
          <w:p w14:paraId="11E4E3CC" w14:textId="14E01114" w:rsidR="5981F266" w:rsidRDefault="5981F266" w:rsidP="00284CEC">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Design and Implement Holistic Wellbeing Strategies:</w:t>
            </w:r>
            <w:r>
              <w:br/>
            </w:r>
            <w:r w:rsidRPr="4EC0B56F">
              <w:rPr>
                <w:rFonts w:ascii="Lato" w:eastAsia="Lato" w:hAnsi="Lato" w:cs="Lato"/>
                <w:color w:val="000000" w:themeColor="text1"/>
                <w:sz w:val="22"/>
                <w:szCs w:val="22"/>
              </w:rPr>
              <w:t>Develop and execute comprehensive wellbeing strategies that address the physical, mental, and emotional health of staff working in diverse and often high-stress humanitarian contexts. Ensure these strategies are adaptable to various operational settings, from office environments to remote field locations.</w:t>
            </w:r>
          </w:p>
          <w:p w14:paraId="29B3EE72" w14:textId="2DB92B7C" w:rsidR="5981F266" w:rsidRDefault="5981F266" w:rsidP="00284CEC">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Deliver Training and Capacity Building:</w:t>
            </w:r>
            <w:r>
              <w:br/>
            </w:r>
            <w:r w:rsidRPr="4EC0B56F">
              <w:rPr>
                <w:rFonts w:ascii="Lato" w:eastAsia="Lato" w:hAnsi="Lato" w:cs="Lato"/>
                <w:color w:val="000000" w:themeColor="text1"/>
                <w:sz w:val="22"/>
                <w:szCs w:val="22"/>
              </w:rPr>
              <w:t xml:space="preserve">Design and deliver tailored training sessions on wellbeing practices that reflect the realities of </w:t>
            </w:r>
            <w:r w:rsidRPr="4EC0B56F">
              <w:rPr>
                <w:rFonts w:ascii="Lato" w:eastAsia="Lato" w:hAnsi="Lato" w:cs="Lato"/>
                <w:color w:val="000000" w:themeColor="text1"/>
                <w:sz w:val="22"/>
                <w:szCs w:val="22"/>
              </w:rPr>
              <w:lastRenderedPageBreak/>
              <w:t>humanitarian work. Incorporate strategies for stress management, trauma awareness, resilience-building, and self-care, ensuring all materials promote inclusivity and cultural competency.</w:t>
            </w:r>
          </w:p>
          <w:p w14:paraId="2C2229D4" w14:textId="6BB65AB3" w:rsidR="5981F266" w:rsidRDefault="5981F266" w:rsidP="00284CEC">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Advocate for Context-Specific Health and Wellbeing Policies:</w:t>
            </w:r>
            <w:r>
              <w:br/>
            </w:r>
            <w:r w:rsidRPr="4EC0B56F">
              <w:rPr>
                <w:rFonts w:ascii="Lato" w:eastAsia="Lato" w:hAnsi="Lato" w:cs="Lato"/>
                <w:color w:val="000000" w:themeColor="text1"/>
                <w:sz w:val="22"/>
                <w:szCs w:val="22"/>
              </w:rPr>
              <w:t>Work to identify and address systemic and operational barriers that impede staff wellbeing in humanitarian settings, such as lack of access to health services or high levels of occupational stress. Advocate for policies that provide equitable support to field-based staff in challenging environments.</w:t>
            </w:r>
          </w:p>
          <w:p w14:paraId="78DD0B46" w14:textId="6860057B" w:rsidR="5981F266" w:rsidRDefault="5981F266" w:rsidP="00284CEC">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Develop and Drive Engagement Initiatives in Humanitarian Operations:</w:t>
            </w:r>
            <w:r>
              <w:br/>
            </w:r>
            <w:r w:rsidRPr="4EC0B56F">
              <w:rPr>
                <w:rFonts w:ascii="Lato" w:eastAsia="Lato" w:hAnsi="Lato" w:cs="Lato"/>
                <w:color w:val="000000" w:themeColor="text1"/>
                <w:sz w:val="22"/>
                <w:szCs w:val="22"/>
              </w:rPr>
              <w:t>Create engagement initiatives that account for the unique challenges of remote, high-pressure, and crisis-driven work environments. Develop solutions that foster inclusivity and collaboration among staff working across multiple time zones, cultures, and operational contexts.</w:t>
            </w:r>
          </w:p>
          <w:p w14:paraId="4E13D1B8" w14:textId="554080F9" w:rsidR="5981F266" w:rsidRDefault="5981F266" w:rsidP="00284CEC">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Provide Contextualised Crisis Support:</w:t>
            </w:r>
            <w:r>
              <w:br/>
            </w:r>
            <w:r w:rsidRPr="4EC0B56F">
              <w:rPr>
                <w:rFonts w:ascii="Lato" w:eastAsia="Lato" w:hAnsi="Lato" w:cs="Lato"/>
                <w:color w:val="000000" w:themeColor="text1"/>
                <w:sz w:val="22"/>
                <w:szCs w:val="22"/>
              </w:rPr>
              <w:t>Collaborate with safeguarding and security teams to implement targeted support for staff experiencing or responding to crises. This includes immediate mental health support, peer support programmes, and post-crisis debriefing sessions to address trauma and burnout risks.</w:t>
            </w:r>
          </w:p>
          <w:p w14:paraId="7F4022EB" w14:textId="18A756BC" w:rsidR="5981F266" w:rsidRDefault="5981F266" w:rsidP="00284CEC">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Foster Stakeholder Relationships in Humanitarian Settings:</w:t>
            </w:r>
            <w:r>
              <w:br/>
            </w:r>
            <w:r w:rsidRPr="4EC0B56F">
              <w:rPr>
                <w:rFonts w:ascii="Lato" w:eastAsia="Lato" w:hAnsi="Lato" w:cs="Lato"/>
                <w:color w:val="000000" w:themeColor="text1"/>
                <w:sz w:val="22"/>
                <w:szCs w:val="22"/>
              </w:rPr>
              <w:t>Build strong partnerships with internal teams, such as Safeguarding, Insurance, GSS, and the One Humanitarian Team, as well as external providers, to ensure wellbeing strategies are responsive to the demands of humanitarian operations. Address staff health and wellbeing needs in high-risk environments, including evacuation planning and emergency health procedures.</w:t>
            </w:r>
          </w:p>
          <w:p w14:paraId="2D8E5EBF" w14:textId="46FEC9B2" w:rsidR="5981F266" w:rsidRDefault="5981F266" w:rsidP="00284CEC">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Project Manage Engagement Measurement in Complex Contexts:</w:t>
            </w:r>
            <w:r>
              <w:br/>
            </w:r>
            <w:r w:rsidRPr="4EC0B56F">
              <w:rPr>
                <w:rFonts w:ascii="Lato" w:eastAsia="Lato" w:hAnsi="Lato" w:cs="Lato"/>
                <w:color w:val="000000" w:themeColor="text1"/>
                <w:sz w:val="22"/>
                <w:szCs w:val="22"/>
              </w:rPr>
              <w:t>Lead efforts to assess and enhance employee engagement in challenging settings, such as conflict zones or disaster-affected areas. Design methods to gather meaningful feedback while ensuring the anonymity and safety of staff. Use insights to develop actionable, context-appropriate improvements.</w:t>
            </w:r>
          </w:p>
          <w:p w14:paraId="26167CEF" w14:textId="0566013A" w:rsidR="5981F266" w:rsidRDefault="5981F266" w:rsidP="00284CEC">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Monitor, Evaluate, and Report Impact:</w:t>
            </w:r>
            <w:r>
              <w:br/>
            </w:r>
            <w:r w:rsidRPr="4EC0B56F">
              <w:rPr>
                <w:rFonts w:ascii="Lato" w:eastAsia="Lato" w:hAnsi="Lato" w:cs="Lato"/>
                <w:color w:val="000000" w:themeColor="text1"/>
                <w:sz w:val="22"/>
                <w:szCs w:val="22"/>
              </w:rPr>
              <w:t>Establish tailored metrics and evaluation frameworks to assess the effectiveness of wellbeing and engagement initiatives in humanitarian contexts. Provide regular updates to senior leadership, ensuring that insights inform strategic planning and operational improvements.</w:t>
            </w:r>
          </w:p>
          <w:p w14:paraId="2B7AC79B" w14:textId="1479DFEC" w:rsidR="5981F266" w:rsidRDefault="5981F266" w:rsidP="00284CEC">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Champion Diversity, Equity, and Inclusion:</w:t>
            </w:r>
            <w:r>
              <w:br/>
            </w:r>
            <w:r w:rsidRPr="4EC0B56F">
              <w:rPr>
                <w:rFonts w:ascii="Lato" w:eastAsia="Lato" w:hAnsi="Lato" w:cs="Lato"/>
                <w:color w:val="000000" w:themeColor="text1"/>
                <w:sz w:val="22"/>
                <w:szCs w:val="22"/>
              </w:rPr>
              <w:t>Embed the principles of diversity, equity, and inclusion in all engagement and wellbeing activities. Design initiatives that address the unique challenges faced by staff from diverse backgrounds, ensuring equitable access to support and resources across global operations.</w:t>
            </w:r>
          </w:p>
          <w:p w14:paraId="45D7146C" w14:textId="219FD1EF" w:rsidR="5981F266" w:rsidRDefault="5981F266" w:rsidP="00284CEC">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Collaborate to Build a Supportive Humanitarian Work Environment:</w:t>
            </w:r>
            <w:r>
              <w:br/>
            </w:r>
            <w:r w:rsidRPr="4EC0B56F">
              <w:rPr>
                <w:rFonts w:ascii="Lato" w:eastAsia="Lato" w:hAnsi="Lato" w:cs="Lato"/>
                <w:color w:val="000000" w:themeColor="text1"/>
                <w:sz w:val="22"/>
                <w:szCs w:val="22"/>
              </w:rPr>
              <w:t>Partner with internal teams and external organisations to cultivate a workplace culture that values, respects, and celebrates individual differences. Support the development of tools and resources that enable staff in high-risk and remote locations to feel connected and supported.</w:t>
            </w:r>
          </w:p>
          <w:p w14:paraId="489E7890" w14:textId="5819F544" w:rsidR="5981F266" w:rsidRDefault="5981F266" w:rsidP="00284CEC">
            <w:pPr>
              <w:pStyle w:val="ListParagraph"/>
              <w:numPr>
                <w:ilvl w:val="0"/>
                <w:numId w:val="5"/>
              </w:numPr>
              <w:spacing w:before="240" w:after="240"/>
              <w:rPr>
                <w:rFonts w:ascii="Lato" w:eastAsia="Lato" w:hAnsi="Lato" w:cs="Lato"/>
                <w:color w:val="000000" w:themeColor="text1"/>
                <w:sz w:val="22"/>
                <w:szCs w:val="22"/>
              </w:rPr>
            </w:pPr>
            <w:r w:rsidRPr="4EC0B56F">
              <w:rPr>
                <w:rFonts w:ascii="Lato" w:eastAsia="Lato" w:hAnsi="Lato" w:cs="Lato"/>
                <w:b/>
                <w:bCs/>
                <w:color w:val="000000" w:themeColor="text1"/>
                <w:sz w:val="22"/>
                <w:szCs w:val="22"/>
              </w:rPr>
              <w:t>Drive Continuous Improvement:</w:t>
            </w:r>
            <w:r>
              <w:br/>
            </w:r>
            <w:r w:rsidRPr="4EC0B56F">
              <w:rPr>
                <w:rFonts w:ascii="Lato" w:eastAsia="Lato" w:hAnsi="Lato" w:cs="Lato"/>
                <w:color w:val="000000" w:themeColor="text1"/>
                <w:sz w:val="22"/>
                <w:szCs w:val="22"/>
              </w:rPr>
              <w:t>Stay informed of emerging trends, innovations, and best practices in employee wellbeing and engagement, particularly those relevant to humanitarian contexts. Incorporate these insights into strategies to enhance organisational impact and resilience.</w:t>
            </w:r>
          </w:p>
        </w:tc>
      </w:tr>
    </w:tbl>
    <w:p w14:paraId="44EAFD9C" w14:textId="77777777" w:rsidR="007A3D46" w:rsidRDefault="007A3D46"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4EC0B56F">
        <w:tc>
          <w:tcPr>
            <w:tcW w:w="10296" w:type="dxa"/>
            <w:shd w:val="clear" w:color="auto" w:fill="D5E0E1"/>
          </w:tcPr>
          <w:p w14:paraId="7584723A" w14:textId="77777777" w:rsidR="00B42C23" w:rsidRPr="005E601E" w:rsidRDefault="24B7328E" w:rsidP="4EC0B56F">
            <w:pPr>
              <w:jc w:val="both"/>
              <w:rPr>
                <w:rFonts w:ascii="Lato" w:hAnsi="Lato"/>
                <w:b/>
                <w:bCs/>
                <w:sz w:val="22"/>
                <w:szCs w:val="22"/>
              </w:rPr>
            </w:pPr>
            <w:r w:rsidRPr="4EC0B56F">
              <w:rPr>
                <w:rFonts w:ascii="Lato" w:hAnsi="Lato"/>
                <w:b/>
                <w:bCs/>
                <w:sz w:val="22"/>
                <w:szCs w:val="22"/>
              </w:rPr>
              <w:t>Budget</w:t>
            </w:r>
          </w:p>
        </w:tc>
      </w:tr>
      <w:tr w:rsidR="00B42C23" w:rsidRPr="005E601E" w14:paraId="629D792A" w14:textId="77777777" w:rsidTr="4EC0B56F">
        <w:tc>
          <w:tcPr>
            <w:tcW w:w="10296" w:type="dxa"/>
          </w:tcPr>
          <w:p w14:paraId="34824FA9" w14:textId="77777777" w:rsidR="00B42C23" w:rsidRPr="00B42C23" w:rsidRDefault="1710F854" w:rsidP="4EC0B56F">
            <w:pPr>
              <w:jc w:val="both"/>
              <w:rPr>
                <w:rFonts w:ascii="Lato" w:hAnsi="Lato"/>
                <w:sz w:val="22"/>
                <w:szCs w:val="22"/>
              </w:rPr>
            </w:pPr>
            <w:r w:rsidRPr="4EC0B56F">
              <w:rPr>
                <w:rFonts w:ascii="Lato" w:hAnsi="Lato"/>
                <w:noProof/>
                <w:sz w:val="22"/>
                <w:szCs w:val="22"/>
              </w:rPr>
              <w:t>N/A</w:t>
            </w:r>
          </w:p>
        </w:tc>
      </w:tr>
    </w:tbl>
    <w:p w14:paraId="4B94D5A5" w14:textId="77777777" w:rsidR="00B42C23" w:rsidRDefault="00B42C23"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4EC0B56F">
        <w:tc>
          <w:tcPr>
            <w:tcW w:w="10296" w:type="dxa"/>
            <w:shd w:val="clear" w:color="auto" w:fill="D5E0E1"/>
          </w:tcPr>
          <w:p w14:paraId="5BB740B1" w14:textId="77777777" w:rsidR="00B42C23" w:rsidRPr="005E601E" w:rsidRDefault="24B7328E" w:rsidP="4EC0B56F">
            <w:pPr>
              <w:jc w:val="both"/>
              <w:rPr>
                <w:rFonts w:ascii="Lato" w:hAnsi="Lato"/>
                <w:b/>
                <w:bCs/>
                <w:sz w:val="22"/>
                <w:szCs w:val="22"/>
              </w:rPr>
            </w:pPr>
            <w:r w:rsidRPr="4EC0B56F">
              <w:rPr>
                <w:rFonts w:ascii="Lato" w:hAnsi="Lato"/>
                <w:b/>
                <w:bCs/>
                <w:sz w:val="22"/>
                <w:szCs w:val="22"/>
              </w:rPr>
              <w:t>People Management Responsibility</w:t>
            </w:r>
            <w:r w:rsidRPr="4EC0B56F">
              <w:rPr>
                <w:rFonts w:ascii="Lato" w:hAnsi="Lato"/>
                <w:sz w:val="22"/>
                <w:szCs w:val="22"/>
              </w:rPr>
              <w:t xml:space="preserve"> (direct/indirect reports)</w:t>
            </w:r>
          </w:p>
        </w:tc>
      </w:tr>
      <w:tr w:rsidR="00B42C23" w:rsidRPr="00B42C23" w14:paraId="3020C844" w14:textId="77777777" w:rsidTr="4EC0B56F">
        <w:tc>
          <w:tcPr>
            <w:tcW w:w="10296" w:type="dxa"/>
          </w:tcPr>
          <w:p w14:paraId="01DAB2B2" w14:textId="548454AB" w:rsidR="00B42C23" w:rsidRDefault="24B7328E" w:rsidP="4EC0B56F">
            <w:pPr>
              <w:jc w:val="both"/>
              <w:rPr>
                <w:rFonts w:ascii="Lato" w:hAnsi="Lato"/>
                <w:sz w:val="22"/>
                <w:szCs w:val="22"/>
              </w:rPr>
            </w:pPr>
            <w:r w:rsidRPr="4EC0B56F">
              <w:rPr>
                <w:rFonts w:ascii="Lato" w:hAnsi="Lato"/>
                <w:sz w:val="22"/>
                <w:szCs w:val="22"/>
              </w:rPr>
              <w:t xml:space="preserve">Number of </w:t>
            </w:r>
            <w:r w:rsidR="1331C133" w:rsidRPr="4EC0B56F">
              <w:rPr>
                <w:rFonts w:ascii="Lato" w:hAnsi="Lato"/>
                <w:sz w:val="22"/>
                <w:szCs w:val="22"/>
              </w:rPr>
              <w:t>P</w:t>
            </w:r>
            <w:r w:rsidRPr="4EC0B56F">
              <w:rPr>
                <w:rFonts w:ascii="Lato" w:hAnsi="Lato"/>
                <w:sz w:val="22"/>
                <w:szCs w:val="22"/>
              </w:rPr>
              <w:t xml:space="preserve">eople </w:t>
            </w:r>
            <w:r w:rsidR="43ADA5CE" w:rsidRPr="4EC0B56F">
              <w:rPr>
                <w:rFonts w:ascii="Lato" w:hAnsi="Lato"/>
                <w:sz w:val="22"/>
                <w:szCs w:val="22"/>
              </w:rPr>
              <w:t>M</w:t>
            </w:r>
            <w:r w:rsidRPr="4EC0B56F">
              <w:rPr>
                <w:rFonts w:ascii="Lato" w:hAnsi="Lato"/>
                <w:sz w:val="22"/>
                <w:szCs w:val="22"/>
              </w:rPr>
              <w:t xml:space="preserve">anaged in </w:t>
            </w:r>
            <w:r w:rsidR="3203FCD4" w:rsidRPr="4EC0B56F">
              <w:rPr>
                <w:rFonts w:ascii="Lato" w:hAnsi="Lato"/>
                <w:sz w:val="22"/>
                <w:szCs w:val="22"/>
              </w:rPr>
              <w:t>T</w:t>
            </w:r>
            <w:r w:rsidRPr="4EC0B56F">
              <w:rPr>
                <w:rFonts w:ascii="Lato" w:hAnsi="Lato"/>
                <w:sz w:val="22"/>
                <w:szCs w:val="22"/>
              </w:rPr>
              <w:t xml:space="preserve">otal: </w:t>
            </w:r>
            <w:r w:rsidR="1710F854" w:rsidRPr="4EC0B56F">
              <w:rPr>
                <w:rFonts w:ascii="Lato" w:hAnsi="Lato"/>
                <w:noProof/>
                <w:sz w:val="22"/>
                <w:szCs w:val="22"/>
              </w:rPr>
              <w:t>N/A</w:t>
            </w:r>
          </w:p>
          <w:p w14:paraId="5D9B5FF3" w14:textId="597A8A24" w:rsidR="00B42C23" w:rsidRDefault="24B7328E" w:rsidP="4EC0B56F">
            <w:pPr>
              <w:jc w:val="both"/>
              <w:rPr>
                <w:rFonts w:ascii="Lato" w:hAnsi="Lato"/>
                <w:sz w:val="22"/>
                <w:szCs w:val="22"/>
              </w:rPr>
            </w:pPr>
            <w:r w:rsidRPr="4EC0B56F">
              <w:rPr>
                <w:rFonts w:ascii="Lato" w:hAnsi="Lato"/>
                <w:sz w:val="22"/>
                <w:szCs w:val="22"/>
              </w:rPr>
              <w:t xml:space="preserve">Manager of a </w:t>
            </w:r>
            <w:r w:rsidR="5D4D920F" w:rsidRPr="4EC0B56F">
              <w:rPr>
                <w:rFonts w:ascii="Lato" w:hAnsi="Lato"/>
                <w:sz w:val="22"/>
                <w:szCs w:val="22"/>
              </w:rPr>
              <w:t>T</w:t>
            </w:r>
            <w:r w:rsidRPr="4EC0B56F">
              <w:rPr>
                <w:rFonts w:ascii="Lato" w:hAnsi="Lato"/>
                <w:sz w:val="22"/>
                <w:szCs w:val="22"/>
              </w:rPr>
              <w:t xml:space="preserve">eam: </w:t>
            </w:r>
            <w:r w:rsidR="1710F854" w:rsidRPr="4EC0B56F">
              <w:rPr>
                <w:rFonts w:ascii="Lato" w:hAnsi="Lato"/>
                <w:noProof/>
                <w:sz w:val="22"/>
                <w:szCs w:val="22"/>
              </w:rPr>
              <w:t>No</w:t>
            </w:r>
          </w:p>
          <w:p w14:paraId="2E57E3FA" w14:textId="77777777" w:rsidR="00B42C23" w:rsidRPr="00B42C23" w:rsidRDefault="24B7328E" w:rsidP="4EC0B56F">
            <w:pPr>
              <w:jc w:val="both"/>
              <w:rPr>
                <w:rFonts w:ascii="Lato" w:hAnsi="Lato"/>
                <w:sz w:val="22"/>
                <w:szCs w:val="22"/>
              </w:rPr>
            </w:pPr>
            <w:r w:rsidRPr="4EC0B56F">
              <w:rPr>
                <w:rFonts w:ascii="Lato" w:hAnsi="Lato"/>
                <w:sz w:val="22"/>
                <w:szCs w:val="22"/>
              </w:rPr>
              <w:t xml:space="preserve">Team Manager (manager of multiple teams): </w:t>
            </w:r>
            <w:r w:rsidR="1710F854" w:rsidRPr="4EC0B56F">
              <w:rPr>
                <w:rFonts w:ascii="Lato" w:hAnsi="Lato"/>
                <w:noProof/>
                <w:sz w:val="22"/>
                <w:szCs w:val="22"/>
              </w:rPr>
              <w:t>No</w:t>
            </w:r>
          </w:p>
        </w:tc>
      </w:tr>
    </w:tbl>
    <w:p w14:paraId="3DEEC669" w14:textId="77777777" w:rsidR="006D1DF1" w:rsidRDefault="006D1DF1"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4EC0B56F">
        <w:tc>
          <w:tcPr>
            <w:tcW w:w="10296" w:type="dxa"/>
            <w:shd w:val="clear" w:color="auto" w:fill="D5E0E1"/>
          </w:tcPr>
          <w:p w14:paraId="0F576350" w14:textId="77777777" w:rsidR="008F7976" w:rsidRPr="005E601E" w:rsidRDefault="55772836" w:rsidP="4EC0B56F">
            <w:pPr>
              <w:jc w:val="both"/>
              <w:rPr>
                <w:rFonts w:ascii="Lato" w:hAnsi="Lato"/>
                <w:b/>
                <w:bCs/>
                <w:sz w:val="22"/>
                <w:szCs w:val="22"/>
              </w:rPr>
            </w:pPr>
            <w:r w:rsidRPr="4EC0B56F">
              <w:rPr>
                <w:rFonts w:ascii="Lato" w:hAnsi="Lato"/>
                <w:b/>
                <w:bCs/>
                <w:sz w:val="22"/>
                <w:szCs w:val="22"/>
              </w:rPr>
              <w:t>Size of Remit</w:t>
            </w:r>
          </w:p>
        </w:tc>
      </w:tr>
      <w:tr w:rsidR="008F7976" w:rsidRPr="00B42C23" w14:paraId="1CEF4BAA" w14:textId="77777777" w:rsidTr="4EC0B56F">
        <w:tc>
          <w:tcPr>
            <w:tcW w:w="10296" w:type="dxa"/>
          </w:tcPr>
          <w:p w14:paraId="72C95CAC" w14:textId="77777777" w:rsidR="008F7976" w:rsidRPr="00B42C23" w:rsidRDefault="1710F854" w:rsidP="4EC0B56F">
            <w:pPr>
              <w:jc w:val="both"/>
              <w:rPr>
                <w:rFonts w:ascii="Lato" w:hAnsi="Lato"/>
                <w:sz w:val="22"/>
                <w:szCs w:val="22"/>
              </w:rPr>
            </w:pPr>
            <w:r w:rsidRPr="4EC0B56F">
              <w:rPr>
                <w:rFonts w:ascii="Lato" w:hAnsi="Lato"/>
                <w:noProof/>
                <w:sz w:val="22"/>
                <w:szCs w:val="22"/>
              </w:rPr>
              <w:t>Global</w:t>
            </w:r>
          </w:p>
        </w:tc>
      </w:tr>
    </w:tbl>
    <w:p w14:paraId="3656B9AB" w14:textId="77777777" w:rsidR="008F7976" w:rsidRDefault="008F7976"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4EC0B56F">
        <w:tc>
          <w:tcPr>
            <w:tcW w:w="10296" w:type="dxa"/>
            <w:shd w:val="clear" w:color="auto" w:fill="D5E0E1"/>
          </w:tcPr>
          <w:p w14:paraId="1060DDF3" w14:textId="77777777" w:rsidR="008F7976" w:rsidRPr="005E601E" w:rsidRDefault="55772836" w:rsidP="4EC0B56F">
            <w:pPr>
              <w:jc w:val="both"/>
              <w:rPr>
                <w:rFonts w:ascii="Lato" w:hAnsi="Lato"/>
                <w:b/>
                <w:bCs/>
                <w:sz w:val="22"/>
                <w:szCs w:val="22"/>
              </w:rPr>
            </w:pPr>
            <w:r w:rsidRPr="4EC0B56F">
              <w:rPr>
                <w:rFonts w:ascii="Lato" w:hAnsi="Lato"/>
                <w:b/>
                <w:bCs/>
                <w:sz w:val="22"/>
                <w:szCs w:val="22"/>
              </w:rPr>
              <w:t>Travel Requirements</w:t>
            </w:r>
          </w:p>
        </w:tc>
      </w:tr>
      <w:tr w:rsidR="008F7976" w:rsidRPr="00B42C23" w14:paraId="33C1D840" w14:textId="77777777" w:rsidTr="4EC0B56F">
        <w:tc>
          <w:tcPr>
            <w:tcW w:w="10296" w:type="dxa"/>
          </w:tcPr>
          <w:p w14:paraId="45FB0818" w14:textId="04F29EF1" w:rsidR="008F7976" w:rsidRDefault="55772836" w:rsidP="4EC0B56F">
            <w:pPr>
              <w:jc w:val="both"/>
              <w:rPr>
                <w:rFonts w:ascii="Lato" w:hAnsi="Lato"/>
                <w:sz w:val="22"/>
                <w:szCs w:val="22"/>
              </w:rPr>
            </w:pPr>
            <w:r w:rsidRPr="4EC0B56F">
              <w:rPr>
                <w:rFonts w:ascii="Lato" w:hAnsi="Lato"/>
                <w:sz w:val="22"/>
                <w:szCs w:val="22"/>
              </w:rPr>
              <w:t xml:space="preserve">International travel required: </w:t>
            </w:r>
            <w:r w:rsidR="6546E77D" w:rsidRPr="4EC0B56F">
              <w:rPr>
                <w:rFonts w:ascii="Lato" w:hAnsi="Lato"/>
                <w:sz w:val="22"/>
                <w:szCs w:val="22"/>
              </w:rPr>
              <w:t>Yes</w:t>
            </w:r>
          </w:p>
          <w:p w14:paraId="049F31CB" w14:textId="0467A622" w:rsidR="008F7976" w:rsidRPr="00B42C23" w:rsidRDefault="55772836" w:rsidP="4EC0B56F">
            <w:pPr>
              <w:jc w:val="both"/>
              <w:rPr>
                <w:rFonts w:ascii="Lato" w:hAnsi="Lato"/>
                <w:sz w:val="22"/>
                <w:szCs w:val="22"/>
              </w:rPr>
            </w:pPr>
            <w:r w:rsidRPr="4EC0B56F">
              <w:rPr>
                <w:rFonts w:ascii="Lato" w:hAnsi="Lato"/>
                <w:sz w:val="22"/>
                <w:szCs w:val="22"/>
              </w:rPr>
              <w:lastRenderedPageBreak/>
              <w:t xml:space="preserve">Percentage of required for travel: </w:t>
            </w:r>
            <w:r w:rsidR="1710F854" w:rsidRPr="4EC0B56F">
              <w:rPr>
                <w:rFonts w:ascii="Lato" w:hAnsi="Lato"/>
                <w:noProof/>
                <w:sz w:val="22"/>
                <w:szCs w:val="22"/>
              </w:rPr>
              <w:t>Up to 10%</w:t>
            </w:r>
          </w:p>
        </w:tc>
      </w:tr>
    </w:tbl>
    <w:p w14:paraId="53128261" w14:textId="77777777" w:rsidR="008F7976" w:rsidRDefault="008F7976"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4EC0B56F">
        <w:tc>
          <w:tcPr>
            <w:tcW w:w="10296" w:type="dxa"/>
            <w:shd w:val="clear" w:color="auto" w:fill="D5E0E1"/>
          </w:tcPr>
          <w:p w14:paraId="7E728718" w14:textId="77777777" w:rsidR="002E64D8" w:rsidRPr="005E601E" w:rsidRDefault="011F34F6" w:rsidP="4EC0B56F">
            <w:pPr>
              <w:jc w:val="both"/>
              <w:rPr>
                <w:rFonts w:ascii="Lato" w:hAnsi="Lato"/>
                <w:b/>
                <w:bCs/>
                <w:sz w:val="22"/>
                <w:szCs w:val="22"/>
              </w:rPr>
            </w:pPr>
            <w:r w:rsidRPr="4EC0B56F">
              <w:rPr>
                <w:rFonts w:ascii="Lato" w:hAnsi="Lato"/>
                <w:b/>
                <w:bCs/>
                <w:sz w:val="22"/>
                <w:szCs w:val="22"/>
              </w:rPr>
              <w:t>Key Relationships</w:t>
            </w:r>
          </w:p>
        </w:tc>
      </w:tr>
      <w:tr w:rsidR="002E64D8" w:rsidRPr="002E64D8" w14:paraId="5B9EBC45" w14:textId="77777777" w:rsidTr="4EC0B56F">
        <w:trPr>
          <w:trHeight w:val="854"/>
        </w:trPr>
        <w:tc>
          <w:tcPr>
            <w:tcW w:w="10296" w:type="dxa"/>
          </w:tcPr>
          <w:p w14:paraId="6DDEF63F" w14:textId="75A5A481" w:rsidR="011F34F6" w:rsidRDefault="011F34F6" w:rsidP="4EC0B56F">
            <w:pPr>
              <w:jc w:val="both"/>
              <w:rPr>
                <w:rFonts w:ascii="Lato" w:hAnsi="Lato"/>
                <w:b/>
                <w:bCs/>
                <w:sz w:val="22"/>
                <w:szCs w:val="22"/>
              </w:rPr>
            </w:pPr>
            <w:r w:rsidRPr="4EC0B56F">
              <w:rPr>
                <w:rFonts w:ascii="Lato" w:hAnsi="Lato"/>
                <w:b/>
                <w:bCs/>
                <w:sz w:val="22"/>
                <w:szCs w:val="22"/>
              </w:rPr>
              <w:t xml:space="preserve">Internal </w:t>
            </w:r>
            <w:r w:rsidRPr="4EC0B56F">
              <w:rPr>
                <w:rFonts w:ascii="Lato" w:hAnsi="Lato"/>
                <w:sz w:val="22"/>
                <w:szCs w:val="22"/>
              </w:rPr>
              <w:t>(excluding direct team and manager)</w:t>
            </w:r>
            <w:r w:rsidR="0B0904F9" w:rsidRPr="4EC0B56F">
              <w:rPr>
                <w:rFonts w:ascii="Lato" w:hAnsi="Lato"/>
                <w:sz w:val="22"/>
                <w:szCs w:val="22"/>
              </w:rPr>
              <w:t xml:space="preserve"> </w:t>
            </w:r>
            <w:r w:rsidR="1710F854" w:rsidRPr="4EC0B56F">
              <w:rPr>
                <w:rFonts w:ascii="Lato" w:hAnsi="Lato"/>
                <w:noProof/>
                <w:sz w:val="22"/>
                <w:szCs w:val="22"/>
              </w:rPr>
              <w:t>Staff networks, P&amp;O Leadership Team, Global Team, Internal Communications</w:t>
            </w:r>
            <w:r w:rsidR="682514BF" w:rsidRPr="4EC0B56F">
              <w:rPr>
                <w:rFonts w:ascii="Lato" w:hAnsi="Lato"/>
                <w:noProof/>
                <w:sz w:val="22"/>
                <w:szCs w:val="22"/>
              </w:rPr>
              <w:t>, Safeguarding, Insurance, DEI, Safety and Security</w:t>
            </w:r>
          </w:p>
          <w:p w14:paraId="4B99056E" w14:textId="3496C72C" w:rsidR="002E64D8" w:rsidRPr="002E64D8" w:rsidRDefault="011F34F6" w:rsidP="4EC0B56F">
            <w:pPr>
              <w:jc w:val="both"/>
              <w:rPr>
                <w:rFonts w:ascii="Lato" w:hAnsi="Lato"/>
                <w:b/>
                <w:bCs/>
                <w:sz w:val="22"/>
                <w:szCs w:val="22"/>
              </w:rPr>
            </w:pPr>
            <w:r w:rsidRPr="4EC0B56F">
              <w:rPr>
                <w:rFonts w:ascii="Lato" w:hAnsi="Lato"/>
                <w:b/>
                <w:bCs/>
                <w:sz w:val="22"/>
                <w:szCs w:val="22"/>
              </w:rPr>
              <w:t>External</w:t>
            </w:r>
          </w:p>
        </w:tc>
      </w:tr>
    </w:tbl>
    <w:p w14:paraId="1299C43A" w14:textId="77777777" w:rsidR="00626423" w:rsidRDefault="00626423"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4EC0B56F">
        <w:tc>
          <w:tcPr>
            <w:tcW w:w="10296" w:type="dxa"/>
            <w:shd w:val="clear" w:color="auto" w:fill="D5E0E1"/>
          </w:tcPr>
          <w:p w14:paraId="7817D2C8" w14:textId="77777777" w:rsidR="4EC0B56F" w:rsidRDefault="4EC0B56F" w:rsidP="4EC0B56F">
            <w:pPr>
              <w:jc w:val="both"/>
              <w:rPr>
                <w:rFonts w:ascii="Lato" w:hAnsi="Lato"/>
                <w:b/>
                <w:bCs/>
                <w:sz w:val="22"/>
                <w:szCs w:val="22"/>
              </w:rPr>
            </w:pPr>
            <w:r w:rsidRPr="4EC0B56F">
              <w:rPr>
                <w:rFonts w:ascii="Lato" w:hAnsi="Lato"/>
                <w:b/>
                <w:bCs/>
                <w:sz w:val="22"/>
                <w:szCs w:val="22"/>
              </w:rPr>
              <w:t>Competencies</w:t>
            </w:r>
          </w:p>
        </w:tc>
      </w:tr>
      <w:tr w:rsidR="002E64D8" w:rsidRPr="005E601E" w14:paraId="1F3DE814" w14:textId="77777777" w:rsidTr="4EC0B56F">
        <w:trPr>
          <w:trHeight w:val="854"/>
        </w:trPr>
        <w:tc>
          <w:tcPr>
            <w:tcW w:w="10296" w:type="dxa"/>
          </w:tcPr>
          <w:p w14:paraId="7C9FA950" w14:textId="03D0C793" w:rsidR="798BBD9E" w:rsidRDefault="798BBD9E" w:rsidP="00A41629">
            <w:pPr>
              <w:pStyle w:val="NoSpacing"/>
              <w:rPr>
                <w:rFonts w:ascii="Lato" w:hAnsi="Lato"/>
                <w:noProof/>
                <w:sz w:val="22"/>
                <w:szCs w:val="22"/>
              </w:rPr>
            </w:pPr>
            <w:r w:rsidRPr="00A41629">
              <w:rPr>
                <w:rFonts w:ascii="Lato" w:hAnsi="Lato"/>
                <w:noProof/>
                <w:sz w:val="22"/>
                <w:szCs w:val="22"/>
              </w:rPr>
              <w:t>Cluster: Leading</w:t>
            </w:r>
            <w:r w:rsidRPr="00A41629">
              <w:rPr>
                <w:rFonts w:ascii="Lato" w:hAnsi="Lato"/>
                <w:noProof/>
                <w:sz w:val="22"/>
                <w:szCs w:val="22"/>
              </w:rPr>
              <w:br/>
              <w:t>Competency: Developing Self and Others</w:t>
            </w:r>
            <w:r w:rsidRPr="00A41629">
              <w:rPr>
                <w:rFonts w:ascii="Lato" w:hAnsi="Lato"/>
                <w:noProof/>
                <w:sz w:val="22"/>
                <w:szCs w:val="22"/>
              </w:rPr>
              <w:br/>
              <w:t>Behavioural Indicator: Cultivates and sustains a learning culture that prioritises professional growth and capacity-building, empowering staff to enhance their skills and achieve organisational goals.</w:t>
            </w:r>
          </w:p>
          <w:p w14:paraId="40A41B70" w14:textId="77777777" w:rsidR="00A41629" w:rsidRPr="00A41629" w:rsidRDefault="00A41629" w:rsidP="00A41629">
            <w:pPr>
              <w:pStyle w:val="NoSpacing"/>
              <w:rPr>
                <w:rFonts w:ascii="Lato" w:hAnsi="Lato"/>
                <w:noProof/>
                <w:sz w:val="22"/>
                <w:szCs w:val="22"/>
              </w:rPr>
            </w:pPr>
          </w:p>
          <w:p w14:paraId="16F89CB4" w14:textId="5AA05724" w:rsidR="00A41629" w:rsidRPr="00A41629" w:rsidRDefault="00A41629" w:rsidP="00A41629">
            <w:pPr>
              <w:pStyle w:val="NoSpacing"/>
              <w:rPr>
                <w:rFonts w:ascii="Lato" w:hAnsi="Lato"/>
                <w:noProof/>
                <w:sz w:val="22"/>
                <w:szCs w:val="22"/>
              </w:rPr>
            </w:pPr>
            <w:r w:rsidRPr="00A41629">
              <w:rPr>
                <w:rFonts w:ascii="Lato" w:hAnsi="Lato"/>
                <w:noProof/>
                <w:sz w:val="22"/>
                <w:szCs w:val="22"/>
              </w:rPr>
              <w:t>Cluster: Leading</w:t>
            </w:r>
          </w:p>
          <w:p w14:paraId="6303CDF0" w14:textId="074C58D5" w:rsidR="798BBD9E" w:rsidRDefault="798BBD9E" w:rsidP="00A41629">
            <w:pPr>
              <w:pStyle w:val="NoSpacing"/>
              <w:rPr>
                <w:rFonts w:ascii="Lato" w:hAnsi="Lato"/>
                <w:noProof/>
                <w:sz w:val="22"/>
                <w:szCs w:val="22"/>
              </w:rPr>
            </w:pPr>
            <w:r w:rsidRPr="00A41629">
              <w:rPr>
                <w:rFonts w:ascii="Lato" w:hAnsi="Lato"/>
                <w:noProof/>
                <w:sz w:val="22"/>
                <w:szCs w:val="22"/>
              </w:rPr>
              <w:t>Competency: Leading and Inspiring Others</w:t>
            </w:r>
            <w:r w:rsidRPr="00A41629">
              <w:rPr>
                <w:rFonts w:ascii="Lato" w:hAnsi="Lato"/>
                <w:noProof/>
                <w:sz w:val="22"/>
                <w:szCs w:val="22"/>
              </w:rPr>
              <w:br/>
              <w:t>Behavioural Indicator: Inspires and engages teams around a shared vision and strategy, fostering commitment and enthusiasm to deliver transformative outcomes for children.</w:t>
            </w:r>
          </w:p>
          <w:p w14:paraId="1F602283" w14:textId="77777777" w:rsidR="00A41629" w:rsidRPr="00A41629" w:rsidRDefault="00A41629" w:rsidP="00A41629">
            <w:pPr>
              <w:pStyle w:val="NoSpacing"/>
              <w:rPr>
                <w:rFonts w:ascii="Lato" w:hAnsi="Lato"/>
                <w:noProof/>
                <w:sz w:val="22"/>
                <w:szCs w:val="22"/>
              </w:rPr>
            </w:pPr>
          </w:p>
          <w:p w14:paraId="3243A73F" w14:textId="2CB80AEF" w:rsidR="798BBD9E" w:rsidRDefault="798BBD9E" w:rsidP="00A41629">
            <w:pPr>
              <w:pStyle w:val="NoSpacing"/>
              <w:rPr>
                <w:rFonts w:ascii="Lato" w:hAnsi="Lato"/>
                <w:noProof/>
                <w:sz w:val="22"/>
                <w:szCs w:val="22"/>
              </w:rPr>
            </w:pPr>
            <w:r w:rsidRPr="00A41629">
              <w:rPr>
                <w:rFonts w:ascii="Lato" w:hAnsi="Lato"/>
                <w:noProof/>
                <w:sz w:val="22"/>
                <w:szCs w:val="22"/>
              </w:rPr>
              <w:t>Cluster: Thinking</w:t>
            </w:r>
            <w:r w:rsidRPr="00A41629">
              <w:rPr>
                <w:rFonts w:ascii="Lato" w:hAnsi="Lato"/>
                <w:noProof/>
                <w:sz w:val="22"/>
                <w:szCs w:val="22"/>
              </w:rPr>
              <w:br/>
              <w:t>Competency: Innovating and Adapting</w:t>
            </w:r>
            <w:r w:rsidRPr="00A41629">
              <w:rPr>
                <w:rFonts w:ascii="Lato" w:hAnsi="Lato"/>
                <w:noProof/>
                <w:sz w:val="22"/>
                <w:szCs w:val="22"/>
              </w:rPr>
              <w:br/>
              <w:t>Behavioural Indicator: Champions innovation by driving breakthrough ideas and creative solutions to overcome challenges and achieve better outcomes for children and staff wellbeing.</w:t>
            </w:r>
          </w:p>
          <w:p w14:paraId="2E40EFE8" w14:textId="77777777" w:rsidR="00A41629" w:rsidRPr="00A41629" w:rsidRDefault="00A41629" w:rsidP="00A41629">
            <w:pPr>
              <w:pStyle w:val="NoSpacing"/>
              <w:rPr>
                <w:rFonts w:ascii="Lato" w:hAnsi="Lato"/>
                <w:noProof/>
                <w:sz w:val="22"/>
                <w:szCs w:val="22"/>
              </w:rPr>
            </w:pPr>
          </w:p>
          <w:p w14:paraId="5EEC710A" w14:textId="2FB9880B" w:rsidR="00A41629" w:rsidRPr="00A41629" w:rsidRDefault="00A41629" w:rsidP="00A41629">
            <w:pPr>
              <w:pStyle w:val="NoSpacing"/>
              <w:rPr>
                <w:rFonts w:ascii="Lato" w:hAnsi="Lato"/>
                <w:noProof/>
                <w:sz w:val="22"/>
                <w:szCs w:val="22"/>
              </w:rPr>
            </w:pPr>
            <w:r w:rsidRPr="00A41629">
              <w:rPr>
                <w:rFonts w:ascii="Lato" w:hAnsi="Lato"/>
                <w:noProof/>
                <w:sz w:val="22"/>
                <w:szCs w:val="22"/>
              </w:rPr>
              <w:t>Cluster: Thinking</w:t>
            </w:r>
          </w:p>
          <w:p w14:paraId="338A0C59" w14:textId="6996F2C5" w:rsidR="798BBD9E" w:rsidRDefault="798BBD9E" w:rsidP="00A41629">
            <w:pPr>
              <w:pStyle w:val="NoSpacing"/>
              <w:rPr>
                <w:rFonts w:ascii="Lato" w:hAnsi="Lato"/>
                <w:noProof/>
                <w:sz w:val="22"/>
                <w:szCs w:val="22"/>
              </w:rPr>
            </w:pPr>
            <w:r w:rsidRPr="00A41629">
              <w:rPr>
                <w:rFonts w:ascii="Lato" w:hAnsi="Lato"/>
                <w:noProof/>
                <w:sz w:val="22"/>
                <w:szCs w:val="22"/>
              </w:rPr>
              <w:t>Competency: Problem Solving and Decision Making</w:t>
            </w:r>
            <w:r w:rsidRPr="00A41629">
              <w:rPr>
                <w:rFonts w:ascii="Lato" w:hAnsi="Lato"/>
                <w:noProof/>
                <w:sz w:val="22"/>
                <w:szCs w:val="22"/>
              </w:rPr>
              <w:br/>
              <w:t>Behavioural Indicator: Anticipates and addresses root causes of complex, systemic challenges, delivering sustainable, long-term solutions that strengthen organisational impact.</w:t>
            </w:r>
          </w:p>
          <w:p w14:paraId="4DE3E973" w14:textId="77777777" w:rsidR="00A41629" w:rsidRPr="00A41629" w:rsidRDefault="00A41629" w:rsidP="00A41629">
            <w:pPr>
              <w:pStyle w:val="NoSpacing"/>
              <w:rPr>
                <w:rFonts w:ascii="Lato" w:hAnsi="Lato"/>
                <w:noProof/>
                <w:sz w:val="22"/>
                <w:szCs w:val="22"/>
              </w:rPr>
            </w:pPr>
          </w:p>
          <w:p w14:paraId="27CA5AC4" w14:textId="2385EB11" w:rsidR="798BBD9E" w:rsidRDefault="798BBD9E" w:rsidP="00A41629">
            <w:pPr>
              <w:pStyle w:val="NoSpacing"/>
              <w:rPr>
                <w:rFonts w:ascii="Lato" w:hAnsi="Lato"/>
                <w:noProof/>
                <w:sz w:val="22"/>
                <w:szCs w:val="22"/>
              </w:rPr>
            </w:pPr>
            <w:r w:rsidRPr="00A41629">
              <w:rPr>
                <w:rFonts w:ascii="Lato" w:hAnsi="Lato"/>
                <w:noProof/>
                <w:sz w:val="22"/>
                <w:szCs w:val="22"/>
              </w:rPr>
              <w:t>Cluster: Engaging</w:t>
            </w:r>
            <w:r w:rsidRPr="00A41629">
              <w:rPr>
                <w:rFonts w:ascii="Lato" w:hAnsi="Lato"/>
                <w:noProof/>
                <w:sz w:val="22"/>
                <w:szCs w:val="22"/>
              </w:rPr>
              <w:br/>
              <w:t>Competency: Communicating with Impact</w:t>
            </w:r>
            <w:r w:rsidRPr="00A41629">
              <w:rPr>
                <w:rFonts w:ascii="Lato" w:hAnsi="Lato"/>
                <w:noProof/>
                <w:sz w:val="22"/>
                <w:szCs w:val="22"/>
              </w:rPr>
              <w:br/>
              <w:t>Behavioural Indicator: Delivers compelling and influential messages, briefings, and advice to internal and external audiences, mobilising support and driving action to advance the organisation’s mission.</w:t>
            </w:r>
          </w:p>
          <w:p w14:paraId="344EE53A" w14:textId="77777777" w:rsidR="00A41629" w:rsidRPr="00A41629" w:rsidRDefault="00A41629" w:rsidP="00A41629">
            <w:pPr>
              <w:pStyle w:val="NoSpacing"/>
              <w:rPr>
                <w:rFonts w:ascii="Lato" w:hAnsi="Lato"/>
                <w:noProof/>
                <w:sz w:val="22"/>
                <w:szCs w:val="22"/>
              </w:rPr>
            </w:pPr>
          </w:p>
          <w:p w14:paraId="010D95F7" w14:textId="013EC4E1" w:rsidR="00A41629" w:rsidRPr="00A41629" w:rsidRDefault="00A41629" w:rsidP="00A41629">
            <w:pPr>
              <w:pStyle w:val="NoSpacing"/>
              <w:rPr>
                <w:rFonts w:ascii="Lato" w:hAnsi="Lato"/>
                <w:noProof/>
                <w:sz w:val="22"/>
                <w:szCs w:val="22"/>
              </w:rPr>
            </w:pPr>
            <w:r w:rsidRPr="00A41629">
              <w:rPr>
                <w:rFonts w:ascii="Lato" w:hAnsi="Lato"/>
                <w:noProof/>
                <w:sz w:val="22"/>
                <w:szCs w:val="22"/>
              </w:rPr>
              <w:t>Cluster: Engaging</w:t>
            </w:r>
          </w:p>
          <w:p w14:paraId="2E3CCBAC" w14:textId="2DF09194" w:rsidR="798BBD9E" w:rsidRDefault="798BBD9E" w:rsidP="00A41629">
            <w:pPr>
              <w:pStyle w:val="NoSpacing"/>
              <w:rPr>
                <w:rFonts w:eastAsia="Lato"/>
                <w:noProof/>
              </w:rPr>
            </w:pPr>
            <w:r w:rsidRPr="00A41629">
              <w:rPr>
                <w:rFonts w:ascii="Lato" w:hAnsi="Lato"/>
                <w:noProof/>
                <w:sz w:val="22"/>
                <w:szCs w:val="22"/>
              </w:rPr>
              <w:t>Competency: Working Effectively with Others</w:t>
            </w:r>
            <w:r w:rsidRPr="00A41629">
              <w:rPr>
                <w:rFonts w:ascii="Lato" w:hAnsi="Lato"/>
                <w:noProof/>
                <w:sz w:val="22"/>
                <w:szCs w:val="22"/>
              </w:rPr>
              <w:br/>
              <w:t>Behavioural Indicator: Builds inclusive and collaborative environments that celebrate diversity, actively address discrimination, and enable all individuals to contribute their best.</w:t>
            </w:r>
          </w:p>
        </w:tc>
      </w:tr>
    </w:tbl>
    <w:p w14:paraId="34CE0A41" w14:textId="77777777" w:rsidR="00F13ABA" w:rsidRDefault="00F13ABA"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4EC0B56F">
        <w:tc>
          <w:tcPr>
            <w:tcW w:w="10296" w:type="dxa"/>
            <w:shd w:val="clear" w:color="auto" w:fill="D5E0E1"/>
          </w:tcPr>
          <w:p w14:paraId="5BE7C138" w14:textId="77777777" w:rsidR="002E64D8" w:rsidRPr="005E601E" w:rsidRDefault="011F34F6" w:rsidP="4EC0B56F">
            <w:pPr>
              <w:jc w:val="both"/>
              <w:rPr>
                <w:rFonts w:ascii="Lato" w:hAnsi="Lato"/>
                <w:b/>
                <w:bCs/>
                <w:sz w:val="22"/>
                <w:szCs w:val="22"/>
              </w:rPr>
            </w:pPr>
            <w:r w:rsidRPr="4EC0B56F">
              <w:rPr>
                <w:rFonts w:ascii="Lato" w:hAnsi="Lato"/>
                <w:b/>
                <w:bCs/>
                <w:sz w:val="22"/>
                <w:szCs w:val="22"/>
              </w:rPr>
              <w:t>Experience and Skills</w:t>
            </w:r>
          </w:p>
        </w:tc>
      </w:tr>
      <w:tr w:rsidR="002E64D8" w:rsidRPr="005E601E" w14:paraId="48F80803" w14:textId="77777777" w:rsidTr="4EC0B56F">
        <w:trPr>
          <w:trHeight w:val="854"/>
        </w:trPr>
        <w:tc>
          <w:tcPr>
            <w:tcW w:w="10296" w:type="dxa"/>
          </w:tcPr>
          <w:p w14:paraId="73EAFB4D" w14:textId="2F7F6909" w:rsidR="002E64D8" w:rsidRDefault="32EE8B8B" w:rsidP="4EC0B56F">
            <w:pPr>
              <w:jc w:val="both"/>
              <w:rPr>
                <w:rFonts w:ascii="Lato" w:hAnsi="Lato"/>
                <w:noProof/>
                <w:sz w:val="22"/>
                <w:szCs w:val="22"/>
              </w:rPr>
            </w:pPr>
            <w:r w:rsidRPr="4EC0B56F">
              <w:rPr>
                <w:rFonts w:ascii="Lato" w:eastAsia="Lato" w:hAnsi="Lato" w:cs="Lato"/>
                <w:b/>
                <w:bCs/>
                <w:noProof/>
                <w:color w:val="000000" w:themeColor="text1"/>
                <w:sz w:val="22"/>
                <w:szCs w:val="22"/>
              </w:rPr>
              <w:t>Essential</w:t>
            </w:r>
          </w:p>
          <w:p w14:paraId="49F66837" w14:textId="3FE3038A" w:rsidR="005379F2" w:rsidRDefault="005379F2" w:rsidP="4EC0B56F">
            <w:pPr>
              <w:pStyle w:val="ListParagraph"/>
              <w:numPr>
                <w:ilvl w:val="0"/>
                <w:numId w:val="14"/>
              </w:numPr>
              <w:jc w:val="both"/>
              <w:rPr>
                <w:rFonts w:ascii="Lato" w:eastAsia="Lato" w:hAnsi="Lato" w:cs="Lato"/>
                <w:noProof/>
                <w:color w:val="000000" w:themeColor="text1"/>
                <w:sz w:val="22"/>
                <w:szCs w:val="22"/>
              </w:rPr>
            </w:pPr>
            <w:r w:rsidRPr="005379F2">
              <w:rPr>
                <w:rFonts w:ascii="Lato" w:eastAsia="Lato" w:hAnsi="Lato" w:cs="Lato"/>
                <w:noProof/>
                <w:color w:val="000000" w:themeColor="text1"/>
                <w:sz w:val="22"/>
                <w:szCs w:val="22"/>
              </w:rPr>
              <w:t>Proven expertise in managing global initiatives for strategic improvement </w:t>
            </w:r>
          </w:p>
          <w:p w14:paraId="27940DD7" w14:textId="0F945E68"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Proven ability to design and implement holistic wellbeing and engagement programmes that address psychological, emotional, and physical health while fostering inclusivity and creating meaningful opportunities for staff.</w:t>
            </w:r>
          </w:p>
          <w:p w14:paraId="7A4237A4" w14:textId="2C079676"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Strong skills in analysing and leveraging data to inform and enhance engagement and wellbeing strategies, ensuring alignment with organisational goals. Demonstrated ability to use insights to drive continuous improvement.</w:t>
            </w:r>
          </w:p>
          <w:p w14:paraId="59C5CB1B" w14:textId="13AEA44E"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Proficient in developing and delivering impactful training and educational programmes on wellbeing and engagement, tailored to diverse audiences.</w:t>
            </w:r>
          </w:p>
          <w:p w14:paraId="77F94764" w14:textId="5CA3FEAA"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Exceptional written and verbal communication skills with the ability to articulate complex concepts clearly and effectively to internal and external stakeholders. Demonstrated strength in building and maintaining relationships.</w:t>
            </w:r>
          </w:p>
          <w:p w14:paraId="29AC0433" w14:textId="798B5EDE"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Capable of planning, executing, and overseeing engagement and wellbeing initiatives, such as employee surveys, ensuring delivery within set timelines and budgets.</w:t>
            </w:r>
          </w:p>
          <w:p w14:paraId="3DE7AD4A" w14:textId="11F453A4"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Extensive experience working with and demonstrating respect for diverse cultural perspectives, with the ability to incorporate these into engagement and wellbeing activities.</w:t>
            </w:r>
          </w:p>
          <w:p w14:paraId="7360BDE2" w14:textId="16E83A63"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lastRenderedPageBreak/>
              <w:t>Strong problem-solving skills with the ability to develop innovative solutions that enhance employee engagement and wellbeing initiatives.</w:t>
            </w:r>
          </w:p>
          <w:p w14:paraId="466167D5" w14:textId="4468822F"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High level of integrity and accountability, with a commitment to upholding organisational values of honesty, transparency, and ethical conduct.</w:t>
            </w:r>
          </w:p>
          <w:p w14:paraId="2946DB82" w14:textId="1837F636" w:rsidR="002E64D8" w:rsidRDefault="32EE8B8B" w:rsidP="4EC0B56F">
            <w:pPr>
              <w:pStyle w:val="ListParagraph"/>
              <w:numPr>
                <w:ilvl w:val="0"/>
                <w:numId w:val="14"/>
              </w:numPr>
              <w:jc w:val="both"/>
              <w:rPr>
                <w:rFonts w:ascii="Lato" w:eastAsia="Lato" w:hAnsi="Lato" w:cs="Lato"/>
                <w:noProof/>
                <w:color w:val="000000" w:themeColor="text1"/>
                <w:sz w:val="22"/>
                <w:szCs w:val="22"/>
              </w:rPr>
            </w:pPr>
            <w:r w:rsidRPr="4EC0B56F">
              <w:rPr>
                <w:rFonts w:ascii="Lato" w:eastAsia="Lato" w:hAnsi="Lato" w:cs="Lato"/>
                <w:noProof/>
                <w:color w:val="000000" w:themeColor="text1"/>
                <w:sz w:val="22"/>
                <w:szCs w:val="22"/>
              </w:rPr>
              <w:t>Proficiency in managing multiple projects simultaneously while maintaining efficiency and ensuring timely delivery of objectives.</w:t>
            </w:r>
          </w:p>
          <w:p w14:paraId="5997CC1D" w14:textId="21E0928A" w:rsidR="00327188" w:rsidRPr="005E601E" w:rsidRDefault="32EE8B8B" w:rsidP="4EC0B56F">
            <w:pPr>
              <w:pStyle w:val="Heading4"/>
              <w:spacing w:before="319" w:after="319"/>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 xml:space="preserve">Desirable </w:t>
            </w:r>
            <w:r w:rsidRPr="4EC0B56F">
              <w:rPr>
                <w:rFonts w:ascii="Lato" w:eastAsia="Lato" w:hAnsi="Lato" w:cs="Lato"/>
                <w:b w:val="0"/>
                <w:bCs w:val="0"/>
                <w:color w:val="000000" w:themeColor="text1"/>
                <w:sz w:val="22"/>
                <w:szCs w:val="22"/>
              </w:rPr>
              <w:t>Experience in either wellbeing or engagement, or ideally both, with a demonstrated understanding of their role in fostering a supportive and thriving workforce in humanitarian context.</w:t>
            </w:r>
          </w:p>
        </w:tc>
      </w:tr>
    </w:tbl>
    <w:p w14:paraId="110FFD37" w14:textId="77777777" w:rsidR="002E64D8" w:rsidRDefault="002E64D8"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4EC0B56F">
        <w:tc>
          <w:tcPr>
            <w:tcW w:w="10296" w:type="dxa"/>
            <w:shd w:val="clear" w:color="auto" w:fill="D5E0E1"/>
          </w:tcPr>
          <w:p w14:paraId="0111FE72" w14:textId="77777777" w:rsidR="002E64D8" w:rsidRPr="005E601E" w:rsidRDefault="011F34F6" w:rsidP="4EC0B56F">
            <w:pPr>
              <w:jc w:val="both"/>
              <w:rPr>
                <w:rFonts w:ascii="Lato" w:hAnsi="Lato"/>
                <w:b/>
                <w:bCs/>
                <w:sz w:val="22"/>
                <w:szCs w:val="22"/>
              </w:rPr>
            </w:pPr>
            <w:r w:rsidRPr="4EC0B56F">
              <w:rPr>
                <w:rFonts w:ascii="Lato" w:hAnsi="Lato"/>
                <w:b/>
                <w:bCs/>
                <w:sz w:val="22"/>
                <w:szCs w:val="22"/>
              </w:rPr>
              <w:t>Education and Qualifications</w:t>
            </w:r>
          </w:p>
        </w:tc>
      </w:tr>
      <w:tr w:rsidR="00F045E7" w:rsidRPr="005E601E" w14:paraId="3D144B41" w14:textId="77777777" w:rsidTr="4EC0B56F">
        <w:trPr>
          <w:trHeight w:val="854"/>
        </w:trPr>
        <w:tc>
          <w:tcPr>
            <w:tcW w:w="10296" w:type="dxa"/>
          </w:tcPr>
          <w:p w14:paraId="2B368D07" w14:textId="00CE819A" w:rsidR="571A144B" w:rsidRDefault="571A144B" w:rsidP="4EC0B56F">
            <w:pPr>
              <w:pStyle w:val="Heading4"/>
              <w:spacing w:before="281" w:after="281"/>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Essential</w:t>
            </w:r>
          </w:p>
          <w:p w14:paraId="1C53614F" w14:textId="2C1DCB6C" w:rsidR="571A144B" w:rsidRDefault="571A144B" w:rsidP="4EC0B56F">
            <w:pPr>
              <w:pStyle w:val="ListParagraph"/>
              <w:numPr>
                <w:ilvl w:val="0"/>
                <w:numId w:val="2"/>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 xml:space="preserve">A </w:t>
            </w:r>
            <w:r w:rsidR="121D61FC" w:rsidRPr="4EC0B56F">
              <w:rPr>
                <w:rFonts w:ascii="Lato" w:eastAsia="Lato" w:hAnsi="Lato" w:cs="Lato"/>
                <w:color w:val="000000" w:themeColor="text1"/>
                <w:sz w:val="22"/>
                <w:szCs w:val="22"/>
              </w:rPr>
              <w:t>master's</w:t>
            </w:r>
            <w:r w:rsidRPr="4EC0B56F">
              <w:rPr>
                <w:rFonts w:ascii="Lato" w:eastAsia="Lato" w:hAnsi="Lato" w:cs="Lato"/>
                <w:color w:val="000000" w:themeColor="text1"/>
                <w:sz w:val="22"/>
                <w:szCs w:val="22"/>
              </w:rPr>
              <w:t xml:space="preserve"> or equivalent professional qualification in a relevant field such as Psychology, Public Health, International Development, or a related discipline.</w:t>
            </w:r>
          </w:p>
          <w:p w14:paraId="2E73D015" w14:textId="595F10CD" w:rsidR="571A144B" w:rsidRDefault="571A144B" w:rsidP="4EC0B56F">
            <w:pPr>
              <w:pStyle w:val="ListParagraph"/>
              <w:numPr>
                <w:ilvl w:val="0"/>
                <w:numId w:val="2"/>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Practical experience in developing and implementing wellbeing, mental health, or employee engagement initiatives, ideally within a global or humanitarian context.</w:t>
            </w:r>
          </w:p>
          <w:p w14:paraId="68F02274" w14:textId="73EB1357" w:rsidR="571A144B" w:rsidRDefault="571A144B" w:rsidP="4EC0B56F">
            <w:pPr>
              <w:pStyle w:val="ListParagraph"/>
              <w:numPr>
                <w:ilvl w:val="0"/>
                <w:numId w:val="2"/>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Demonstrated knowledge of diversity, equity, and inclusion principles, particularly in culturally diverse and high-stress environments.</w:t>
            </w:r>
          </w:p>
          <w:p w14:paraId="485C5FB9" w14:textId="0D4844A3" w:rsidR="571A144B" w:rsidRDefault="571A144B" w:rsidP="4EC0B56F">
            <w:pPr>
              <w:pStyle w:val="Heading4"/>
              <w:spacing w:before="319" w:after="319"/>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Desirable</w:t>
            </w:r>
          </w:p>
          <w:p w14:paraId="5BF88D89" w14:textId="75F8B333" w:rsidR="571A144B" w:rsidRDefault="571A144B" w:rsidP="4EC0B56F">
            <w:pPr>
              <w:pStyle w:val="ListParagraph"/>
              <w:numPr>
                <w:ilvl w:val="0"/>
                <w:numId w:val="1"/>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Formal training or certification in wellbeing, mental health, or related areas (e.g., Mental Health First Aid, Trauma-Informed Care, or Stress Management).</w:t>
            </w:r>
          </w:p>
          <w:p w14:paraId="39D282C6" w14:textId="589F1255" w:rsidR="571A144B" w:rsidRDefault="571A144B" w:rsidP="4EC0B56F">
            <w:pPr>
              <w:pStyle w:val="ListParagraph"/>
              <w:numPr>
                <w:ilvl w:val="0"/>
                <w:numId w:val="1"/>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Qualifications or experience in humanitarian aid or crisis response, with an understanding of the challenges faced by staff in conflict or disaster settings.</w:t>
            </w:r>
          </w:p>
          <w:p w14:paraId="22E6E097" w14:textId="1F9C5AFC" w:rsidR="571A144B" w:rsidRDefault="571A144B" w:rsidP="4EC0B56F">
            <w:pPr>
              <w:pStyle w:val="ListParagraph"/>
              <w:numPr>
                <w:ilvl w:val="0"/>
                <w:numId w:val="1"/>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Experience or certification in project management, data analysis, or organisational change to support strategic planning and implementation of wellbeing initiatives.</w:t>
            </w:r>
          </w:p>
          <w:p w14:paraId="3223F384" w14:textId="657B1741" w:rsidR="571A144B" w:rsidRDefault="571A144B" w:rsidP="4EC0B56F">
            <w:pPr>
              <w:pStyle w:val="ListParagraph"/>
              <w:numPr>
                <w:ilvl w:val="0"/>
                <w:numId w:val="1"/>
              </w:numPr>
              <w:jc w:val="both"/>
              <w:rPr>
                <w:rFonts w:ascii="Lato" w:eastAsia="Lato" w:hAnsi="Lato" w:cs="Lato"/>
                <w:color w:val="000000" w:themeColor="text1"/>
                <w:sz w:val="22"/>
                <w:szCs w:val="22"/>
              </w:rPr>
            </w:pPr>
            <w:r w:rsidRPr="4EC0B56F">
              <w:rPr>
                <w:rFonts w:ascii="Lato" w:eastAsia="Lato" w:hAnsi="Lato" w:cs="Lato"/>
                <w:color w:val="000000" w:themeColor="text1"/>
                <w:sz w:val="22"/>
                <w:szCs w:val="22"/>
              </w:rPr>
              <w:t>Familiarity with international health and safety standards, travel health protocols, or safeguarding frameworks within the humanitarian sector.</w:t>
            </w:r>
          </w:p>
          <w:p w14:paraId="5BC31F9B" w14:textId="40923AA8" w:rsidR="4EC0B56F" w:rsidRDefault="4EC0B56F" w:rsidP="4EC0B56F">
            <w:pPr>
              <w:jc w:val="both"/>
              <w:rPr>
                <w:rFonts w:ascii="Lato" w:hAnsi="Lato"/>
                <w:sz w:val="22"/>
                <w:szCs w:val="22"/>
              </w:rPr>
            </w:pPr>
          </w:p>
          <w:p w14:paraId="6B699379" w14:textId="77777777" w:rsidR="00F045E7" w:rsidRPr="005E601E" w:rsidRDefault="00F045E7" w:rsidP="4EC0B56F">
            <w:pPr>
              <w:jc w:val="both"/>
              <w:rPr>
                <w:rFonts w:ascii="Lato" w:hAnsi="Lato"/>
                <w:sz w:val="22"/>
                <w:szCs w:val="22"/>
              </w:rPr>
            </w:pPr>
          </w:p>
        </w:tc>
      </w:tr>
    </w:tbl>
    <w:p w14:paraId="3FE9F23F" w14:textId="77777777" w:rsidR="00F13ABA" w:rsidRDefault="00F13ABA"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4EC0B56F">
        <w:tc>
          <w:tcPr>
            <w:tcW w:w="10308" w:type="dxa"/>
            <w:tcBorders>
              <w:bottom w:val="single" w:sz="4" w:space="0" w:color="000000" w:themeColor="text1"/>
            </w:tcBorders>
            <w:shd w:val="clear" w:color="auto" w:fill="D5E0E1"/>
          </w:tcPr>
          <w:p w14:paraId="3FA2CB4B" w14:textId="77777777" w:rsidR="00072577" w:rsidRPr="005E601E" w:rsidRDefault="298F0F6A" w:rsidP="4EC0B56F">
            <w:pPr>
              <w:jc w:val="both"/>
              <w:rPr>
                <w:rFonts w:ascii="Lato" w:hAnsi="Lato" w:cs="Mangal"/>
                <w:b/>
                <w:bCs/>
                <w:sz w:val="22"/>
                <w:szCs w:val="22"/>
              </w:rPr>
            </w:pPr>
            <w:r w:rsidRPr="4EC0B56F">
              <w:rPr>
                <w:rFonts w:ascii="Lato" w:hAnsi="Lato" w:cs="Mangal"/>
                <w:b/>
                <w:bCs/>
                <w:sz w:val="22"/>
                <w:szCs w:val="22"/>
              </w:rPr>
              <w:t>Safeguarding</w:t>
            </w:r>
          </w:p>
        </w:tc>
      </w:tr>
      <w:tr w:rsidR="00994C06" w:rsidRPr="005E601E" w14:paraId="5B227715" w14:textId="77777777" w:rsidTr="4EC0B56F">
        <w:tc>
          <w:tcPr>
            <w:tcW w:w="10308" w:type="dxa"/>
            <w:tcBorders>
              <w:bottom w:val="single" w:sz="4" w:space="0" w:color="000000" w:themeColor="text1"/>
            </w:tcBorders>
            <w:shd w:val="clear" w:color="auto" w:fill="auto"/>
          </w:tcPr>
          <w:p w14:paraId="3578C1CE" w14:textId="77777777" w:rsidR="00072577" w:rsidRDefault="49FE9F00" w:rsidP="4EC0B56F">
            <w:pPr>
              <w:tabs>
                <w:tab w:val="left" w:pos="984"/>
              </w:tabs>
              <w:jc w:val="both"/>
              <w:rPr>
                <w:rFonts w:ascii="Lato" w:hAnsi="Lato"/>
                <w:sz w:val="22"/>
                <w:szCs w:val="22"/>
              </w:rPr>
            </w:pPr>
            <w:r w:rsidRPr="4EC0B56F">
              <w:rPr>
                <w:rFonts w:ascii="Lato" w:hAnsi="Lato"/>
                <w:sz w:val="22"/>
                <w:szCs w:val="22"/>
              </w:rPr>
              <w:t>We need to keep children</w:t>
            </w:r>
            <w:r w:rsidR="5511828A" w:rsidRPr="4EC0B56F">
              <w:rPr>
                <w:rFonts w:ascii="Lato" w:hAnsi="Lato"/>
                <w:sz w:val="22"/>
                <w:szCs w:val="22"/>
              </w:rPr>
              <w:t xml:space="preserve"> and adults</w:t>
            </w:r>
            <w:r w:rsidRPr="4EC0B56F">
              <w:rPr>
                <w:rFonts w:ascii="Lato" w:hAnsi="Lato"/>
                <w:sz w:val="22"/>
                <w:szCs w:val="22"/>
              </w:rPr>
              <w:t xml:space="preserve"> </w:t>
            </w:r>
            <w:proofErr w:type="gramStart"/>
            <w:r w:rsidRPr="4EC0B56F">
              <w:rPr>
                <w:rFonts w:ascii="Lato" w:hAnsi="Lato"/>
                <w:sz w:val="22"/>
                <w:szCs w:val="22"/>
              </w:rPr>
              <w:t>safe</w:t>
            </w:r>
            <w:proofErr w:type="gramEnd"/>
            <w:r w:rsidRPr="4EC0B56F">
              <w:rPr>
                <w:rFonts w:ascii="Lato" w:hAnsi="Lato"/>
                <w:sz w:val="22"/>
                <w:szCs w:val="22"/>
              </w:rPr>
              <w:t xml:space="preserve"> so our selection process incl</w:t>
            </w:r>
            <w:r w:rsidR="50323903" w:rsidRPr="4EC0B56F">
              <w:rPr>
                <w:rFonts w:ascii="Lato" w:hAnsi="Lato"/>
                <w:sz w:val="22"/>
                <w:szCs w:val="22"/>
              </w:rPr>
              <w:t>udes rigorous background checks and</w:t>
            </w:r>
            <w:r w:rsidRPr="4EC0B56F">
              <w:rPr>
                <w:rFonts w:ascii="Lato" w:hAnsi="Lato"/>
                <w:sz w:val="22"/>
                <w:szCs w:val="22"/>
              </w:rPr>
              <w:t xml:space="preserve"> reflects our commitment to the protection of children</w:t>
            </w:r>
            <w:r w:rsidR="5511828A" w:rsidRPr="4EC0B56F">
              <w:rPr>
                <w:rFonts w:ascii="Lato" w:hAnsi="Lato"/>
                <w:sz w:val="22"/>
                <w:szCs w:val="22"/>
              </w:rPr>
              <w:t xml:space="preserve"> and adults</w:t>
            </w:r>
            <w:r w:rsidRPr="4EC0B56F">
              <w:rPr>
                <w:rFonts w:ascii="Lato" w:hAnsi="Lato"/>
                <w:sz w:val="22"/>
                <w:szCs w:val="22"/>
              </w:rPr>
              <w:t xml:space="preserve"> from abuse.</w:t>
            </w:r>
          </w:p>
          <w:p w14:paraId="1F72F646" w14:textId="77777777" w:rsidR="00BB1C79" w:rsidRDefault="00BB1C79" w:rsidP="4EC0B56F">
            <w:pPr>
              <w:tabs>
                <w:tab w:val="left" w:pos="984"/>
              </w:tabs>
              <w:jc w:val="both"/>
              <w:rPr>
                <w:rFonts w:ascii="Lato" w:hAnsi="Lato"/>
                <w:sz w:val="22"/>
                <w:szCs w:val="22"/>
              </w:rPr>
            </w:pPr>
          </w:p>
          <w:p w14:paraId="5CF1F681" w14:textId="77777777" w:rsidR="00BB1C79" w:rsidRPr="005E601E" w:rsidRDefault="1710F854" w:rsidP="4EC0B56F">
            <w:pPr>
              <w:tabs>
                <w:tab w:val="left" w:pos="984"/>
              </w:tabs>
              <w:jc w:val="both"/>
              <w:rPr>
                <w:rFonts w:ascii="Lato" w:hAnsi="Lato"/>
                <w:sz w:val="22"/>
                <w:szCs w:val="22"/>
              </w:rPr>
            </w:pPr>
            <w:r w:rsidRPr="4EC0B56F">
              <w:rPr>
                <w:rFonts w:ascii="Lato" w:hAnsi="Lato"/>
                <w:noProof/>
                <w:sz w:val="22"/>
                <w:szCs w:val="22"/>
              </w:rPr>
              <w:t>Level 1:  A basic criminal record background (DBS) check is required/equivalent police record check.</w:t>
            </w:r>
          </w:p>
          <w:p w14:paraId="08CE6F91" w14:textId="77777777" w:rsidR="00072577" w:rsidRPr="001217A8" w:rsidRDefault="00072577" w:rsidP="4EC0B56F">
            <w:pPr>
              <w:jc w:val="both"/>
              <w:rPr>
                <w:rFonts w:ascii="Lato" w:hAnsi="Lato" w:cs="Mangal"/>
                <w:b/>
                <w:bCs/>
                <w:sz w:val="22"/>
                <w:szCs w:val="22"/>
              </w:rPr>
            </w:pPr>
          </w:p>
        </w:tc>
      </w:tr>
    </w:tbl>
    <w:p w14:paraId="61CDCEAD" w14:textId="77777777" w:rsidR="00072577" w:rsidRPr="005E601E" w:rsidRDefault="00072577"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4EC0B56F">
        <w:tc>
          <w:tcPr>
            <w:tcW w:w="10308" w:type="dxa"/>
            <w:tcBorders>
              <w:bottom w:val="single" w:sz="4" w:space="0" w:color="000000" w:themeColor="text1"/>
            </w:tcBorders>
            <w:shd w:val="clear" w:color="auto" w:fill="D5E0E1"/>
          </w:tcPr>
          <w:p w14:paraId="6544499F" w14:textId="77777777" w:rsidR="00072577" w:rsidRPr="005E601E" w:rsidRDefault="49FE9F00" w:rsidP="4EC0B56F">
            <w:pPr>
              <w:pStyle w:val="paragraph"/>
              <w:spacing w:before="0" w:beforeAutospacing="0" w:after="0" w:afterAutospacing="0"/>
              <w:jc w:val="both"/>
              <w:textAlignment w:val="baseline"/>
              <w:rPr>
                <w:rStyle w:val="normaltextrun"/>
                <w:rFonts w:ascii="Lato" w:hAnsi="Lato" w:cs="Segoe UI"/>
                <w:b/>
                <w:bCs/>
                <w:sz w:val="22"/>
                <w:szCs w:val="22"/>
              </w:rPr>
            </w:pPr>
            <w:r w:rsidRPr="4EC0B56F">
              <w:rPr>
                <w:rStyle w:val="normaltextrun"/>
                <w:rFonts w:ascii="Lato" w:hAnsi="Lato" w:cs="Segoe UI"/>
                <w:b/>
                <w:bCs/>
                <w:sz w:val="22"/>
                <w:szCs w:val="22"/>
              </w:rPr>
              <w:t>Diversity, Equity and Inclusion and Equal Opportunities</w:t>
            </w:r>
            <w:r w:rsidRPr="4EC0B56F">
              <w:rPr>
                <w:rStyle w:val="eop"/>
                <w:rFonts w:ascii="Lato" w:hAnsi="Lato" w:cs="Segoe UI"/>
                <w:sz w:val="22"/>
                <w:szCs w:val="22"/>
              </w:rPr>
              <w:t> </w:t>
            </w:r>
          </w:p>
        </w:tc>
      </w:tr>
      <w:tr w:rsidR="00994C06" w:rsidRPr="005E601E" w14:paraId="6699804D" w14:textId="77777777" w:rsidTr="4EC0B56F">
        <w:tc>
          <w:tcPr>
            <w:tcW w:w="10308" w:type="dxa"/>
            <w:tcBorders>
              <w:bottom w:val="single" w:sz="4" w:space="0" w:color="000000" w:themeColor="text1"/>
            </w:tcBorders>
            <w:shd w:val="clear" w:color="auto" w:fill="auto"/>
          </w:tcPr>
          <w:p w14:paraId="136DE36D" w14:textId="77777777" w:rsidR="000F4917" w:rsidRPr="005E601E" w:rsidRDefault="49FE9F00" w:rsidP="4EC0B56F">
            <w:pPr>
              <w:pStyle w:val="paragraph"/>
              <w:spacing w:before="0" w:beforeAutospacing="0" w:after="0" w:afterAutospacing="0"/>
              <w:jc w:val="both"/>
              <w:textAlignment w:val="baseline"/>
              <w:rPr>
                <w:rFonts w:ascii="Lato" w:hAnsi="Lato" w:cs="Segoe UI"/>
                <w:sz w:val="22"/>
                <w:szCs w:val="22"/>
              </w:rPr>
            </w:pPr>
            <w:r w:rsidRPr="4EC0B56F">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4EC0B56F">
              <w:rPr>
                <w:rStyle w:val="eop"/>
                <w:rFonts w:ascii="Lato" w:hAnsi="Lato" w:cs="Segoe UI"/>
                <w:sz w:val="22"/>
                <w:szCs w:val="22"/>
              </w:rPr>
              <w:t> </w:t>
            </w:r>
          </w:p>
          <w:p w14:paraId="6E7BEAA2" w14:textId="77777777" w:rsidR="000F4917" w:rsidRPr="005E601E" w:rsidRDefault="49FE9F00" w:rsidP="4EC0B56F">
            <w:pPr>
              <w:pStyle w:val="paragraph"/>
              <w:spacing w:before="0" w:beforeAutospacing="0" w:after="0" w:afterAutospacing="0"/>
              <w:jc w:val="both"/>
              <w:textAlignment w:val="baseline"/>
              <w:rPr>
                <w:rFonts w:ascii="Lato" w:hAnsi="Lato" w:cs="Segoe UI"/>
                <w:sz w:val="22"/>
                <w:szCs w:val="22"/>
              </w:rPr>
            </w:pPr>
            <w:r w:rsidRPr="4EC0B56F">
              <w:rPr>
                <w:rStyle w:val="eop"/>
                <w:rFonts w:ascii="Lato" w:hAnsi="Lato" w:cs="Segoe UI"/>
                <w:sz w:val="22"/>
                <w:szCs w:val="22"/>
              </w:rPr>
              <w:t> </w:t>
            </w:r>
          </w:p>
          <w:p w14:paraId="34442FE6" w14:textId="77777777" w:rsidR="000F4917" w:rsidRPr="005E601E" w:rsidRDefault="49FE9F00" w:rsidP="4EC0B56F">
            <w:pPr>
              <w:pStyle w:val="paragraph"/>
              <w:spacing w:before="0" w:beforeAutospacing="0" w:after="0" w:afterAutospacing="0"/>
              <w:jc w:val="both"/>
              <w:textAlignment w:val="baseline"/>
              <w:rPr>
                <w:rFonts w:ascii="Lato" w:hAnsi="Lato" w:cs="Segoe UI"/>
                <w:sz w:val="22"/>
                <w:szCs w:val="22"/>
              </w:rPr>
            </w:pPr>
            <w:r w:rsidRPr="4EC0B56F">
              <w:rPr>
                <w:rStyle w:val="normaltextrun"/>
                <w:rFonts w:ascii="Lato" w:hAnsi="Lato" w:cs="Segoe UI"/>
                <w:sz w:val="22"/>
                <w:szCs w:val="22"/>
              </w:rPr>
              <w:t>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w:t>
            </w:r>
            <w:r w:rsidRPr="4EC0B56F">
              <w:rPr>
                <w:rStyle w:val="eop"/>
                <w:rFonts w:ascii="Lato" w:hAnsi="Lato" w:cs="Segoe UI"/>
                <w:sz w:val="22"/>
                <w:szCs w:val="22"/>
              </w:rPr>
              <w:t> </w:t>
            </w:r>
          </w:p>
          <w:p w14:paraId="63E4A9CD" w14:textId="77777777" w:rsidR="000F4917" w:rsidRPr="005E601E" w:rsidRDefault="49FE9F00" w:rsidP="4EC0B56F">
            <w:pPr>
              <w:pStyle w:val="paragraph"/>
              <w:spacing w:before="0" w:beforeAutospacing="0" w:after="0" w:afterAutospacing="0"/>
              <w:jc w:val="both"/>
              <w:textAlignment w:val="baseline"/>
              <w:rPr>
                <w:rFonts w:ascii="Lato" w:hAnsi="Lato" w:cs="Segoe UI"/>
                <w:sz w:val="22"/>
                <w:szCs w:val="22"/>
              </w:rPr>
            </w:pPr>
            <w:r w:rsidRPr="4EC0B56F">
              <w:rPr>
                <w:rStyle w:val="eop"/>
                <w:rFonts w:ascii="Lato" w:hAnsi="Lato" w:cs="Segoe UI"/>
                <w:sz w:val="22"/>
                <w:szCs w:val="22"/>
              </w:rPr>
              <w:t> </w:t>
            </w:r>
          </w:p>
          <w:p w14:paraId="097027F0" w14:textId="77777777" w:rsidR="000F4917" w:rsidRPr="005E601E" w:rsidRDefault="49FE9F00" w:rsidP="4EC0B56F">
            <w:pPr>
              <w:pStyle w:val="paragraph"/>
              <w:spacing w:before="0" w:beforeAutospacing="0" w:after="0" w:afterAutospacing="0"/>
              <w:jc w:val="both"/>
              <w:textAlignment w:val="baseline"/>
              <w:rPr>
                <w:rFonts w:ascii="Lato" w:hAnsi="Lato" w:cs="Segoe UI"/>
                <w:sz w:val="22"/>
                <w:szCs w:val="22"/>
              </w:rPr>
            </w:pPr>
            <w:r w:rsidRPr="4EC0B56F">
              <w:rPr>
                <w:rStyle w:val="normaltextrun"/>
                <w:rFonts w:ascii="Lato" w:hAnsi="Lato" w:cs="Segoe UI"/>
                <w:sz w:val="22"/>
                <w:szCs w:val="22"/>
              </w:rPr>
              <w:t>Reasonable adjustments will be made should any candidate invited to interview require this.  </w:t>
            </w:r>
            <w:r w:rsidRPr="4EC0B56F">
              <w:rPr>
                <w:rStyle w:val="eop"/>
                <w:rFonts w:ascii="Lato" w:hAnsi="Lato" w:cs="Segoe UI"/>
                <w:sz w:val="22"/>
                <w:szCs w:val="22"/>
              </w:rPr>
              <w:t> </w:t>
            </w:r>
          </w:p>
          <w:p w14:paraId="4F6584BE" w14:textId="77777777" w:rsidR="000F4917" w:rsidRPr="005E601E" w:rsidRDefault="49FE9F00" w:rsidP="4EC0B56F">
            <w:pPr>
              <w:pStyle w:val="paragraph"/>
              <w:spacing w:before="0" w:beforeAutospacing="0" w:after="0" w:afterAutospacing="0"/>
              <w:jc w:val="both"/>
              <w:textAlignment w:val="baseline"/>
              <w:rPr>
                <w:rStyle w:val="normaltextrun"/>
                <w:rFonts w:ascii="Lato" w:hAnsi="Lato" w:cs="Segoe UI"/>
                <w:sz w:val="22"/>
                <w:szCs w:val="22"/>
              </w:rPr>
            </w:pPr>
            <w:r w:rsidRPr="4EC0B56F">
              <w:rPr>
                <w:rStyle w:val="eop"/>
                <w:rFonts w:ascii="Lato" w:hAnsi="Lato" w:cs="Segoe UI"/>
                <w:sz w:val="22"/>
                <w:szCs w:val="22"/>
              </w:rPr>
              <w:t> </w:t>
            </w:r>
          </w:p>
        </w:tc>
      </w:tr>
    </w:tbl>
    <w:p w14:paraId="6BB9E253" w14:textId="77777777" w:rsidR="00072577" w:rsidRPr="005E601E" w:rsidRDefault="00072577" w:rsidP="4EC0B56F">
      <w:pPr>
        <w:jc w:val="both"/>
        <w:rPr>
          <w:rFonts w:ascii="Lato" w:hAnsi="Lato"/>
          <w:b/>
          <w:bCs/>
          <w:sz w:val="22"/>
          <w:szCs w:val="22"/>
        </w:rPr>
      </w:pPr>
    </w:p>
    <w:p w14:paraId="23DE523C" w14:textId="77777777" w:rsidR="00072577" w:rsidRPr="005E601E" w:rsidRDefault="00072577" w:rsidP="4EC0B56F">
      <w:pPr>
        <w:jc w:val="both"/>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4EC0B56F">
        <w:tc>
          <w:tcPr>
            <w:tcW w:w="10308" w:type="dxa"/>
            <w:gridSpan w:val="5"/>
            <w:tcBorders>
              <w:bottom w:val="single" w:sz="4" w:space="0" w:color="000000" w:themeColor="text1"/>
            </w:tcBorders>
            <w:shd w:val="clear" w:color="auto" w:fill="D5E0E1"/>
          </w:tcPr>
          <w:p w14:paraId="66E21F4A" w14:textId="77777777" w:rsidR="00E31215" w:rsidRPr="005E601E" w:rsidRDefault="47297EC2" w:rsidP="4EC0B56F">
            <w:pPr>
              <w:jc w:val="both"/>
              <w:rPr>
                <w:rFonts w:ascii="Lato" w:hAnsi="Lato" w:cs="Mangal"/>
                <w:b/>
                <w:bCs/>
                <w:sz w:val="22"/>
                <w:szCs w:val="22"/>
              </w:rPr>
            </w:pPr>
            <w:r w:rsidRPr="4EC0B56F">
              <w:rPr>
                <w:rFonts w:ascii="Lato" w:hAnsi="Lato" w:cs="Mangal"/>
                <w:b/>
                <w:bCs/>
                <w:sz w:val="22"/>
                <w:szCs w:val="22"/>
              </w:rPr>
              <w:t>Version Control</w:t>
            </w:r>
            <w:r w:rsidR="64CDD111" w:rsidRPr="4EC0B56F">
              <w:rPr>
                <w:rFonts w:ascii="Lato" w:hAnsi="Lato" w:cs="Mangal"/>
                <w:b/>
                <w:bCs/>
                <w:sz w:val="22"/>
                <w:szCs w:val="22"/>
              </w:rPr>
              <w:t xml:space="preserve"> and Approval</w:t>
            </w:r>
          </w:p>
        </w:tc>
      </w:tr>
      <w:tr w:rsidR="008742CD" w:rsidRPr="005E601E" w14:paraId="781D385F" w14:textId="77777777" w:rsidTr="4EC0B56F">
        <w:tc>
          <w:tcPr>
            <w:tcW w:w="2061" w:type="dxa"/>
            <w:tcBorders>
              <w:bottom w:val="single" w:sz="4" w:space="0" w:color="000000" w:themeColor="text1"/>
            </w:tcBorders>
            <w:shd w:val="clear" w:color="auto" w:fill="D5E0E1"/>
          </w:tcPr>
          <w:p w14:paraId="6B814A1E" w14:textId="77777777" w:rsidR="008742CD" w:rsidRPr="005E601E" w:rsidRDefault="64CDD111" w:rsidP="4EC0B56F">
            <w:pPr>
              <w:jc w:val="both"/>
              <w:rPr>
                <w:rFonts w:ascii="Lato" w:hAnsi="Lato" w:cs="Mangal"/>
                <w:sz w:val="22"/>
                <w:szCs w:val="22"/>
              </w:rPr>
            </w:pPr>
            <w:r w:rsidRPr="4EC0B56F">
              <w:rPr>
                <w:rFonts w:ascii="Lato" w:hAnsi="Lato" w:cs="Mangal"/>
                <w:sz w:val="22"/>
                <w:szCs w:val="22"/>
              </w:rPr>
              <w:t>Version</w:t>
            </w:r>
          </w:p>
        </w:tc>
        <w:tc>
          <w:tcPr>
            <w:tcW w:w="2062" w:type="dxa"/>
            <w:tcBorders>
              <w:bottom w:val="single" w:sz="4" w:space="0" w:color="000000" w:themeColor="text1"/>
            </w:tcBorders>
            <w:shd w:val="clear" w:color="auto" w:fill="D5E0E1"/>
          </w:tcPr>
          <w:p w14:paraId="491072FA" w14:textId="77777777" w:rsidR="008742CD" w:rsidRPr="005E601E" w:rsidRDefault="64CDD111" w:rsidP="4EC0B56F">
            <w:pPr>
              <w:jc w:val="both"/>
              <w:rPr>
                <w:rFonts w:ascii="Lato" w:hAnsi="Lato" w:cs="Mangal"/>
                <w:sz w:val="22"/>
                <w:szCs w:val="22"/>
              </w:rPr>
            </w:pPr>
            <w:r w:rsidRPr="4EC0B56F">
              <w:rPr>
                <w:rFonts w:ascii="Lato" w:hAnsi="Lato" w:cs="Mangal"/>
                <w:sz w:val="22"/>
                <w:szCs w:val="22"/>
              </w:rPr>
              <w:t>Date</w:t>
            </w:r>
          </w:p>
        </w:tc>
        <w:tc>
          <w:tcPr>
            <w:tcW w:w="2061" w:type="dxa"/>
            <w:tcBorders>
              <w:bottom w:val="single" w:sz="4" w:space="0" w:color="000000" w:themeColor="text1"/>
            </w:tcBorders>
            <w:shd w:val="clear" w:color="auto" w:fill="D5E0E1"/>
          </w:tcPr>
          <w:p w14:paraId="1C7DF0E4" w14:textId="77777777" w:rsidR="008742CD" w:rsidRPr="005E601E" w:rsidRDefault="64CDD111" w:rsidP="4EC0B56F">
            <w:pPr>
              <w:jc w:val="both"/>
              <w:rPr>
                <w:rFonts w:ascii="Lato" w:hAnsi="Lato" w:cs="Mangal"/>
                <w:sz w:val="22"/>
                <w:szCs w:val="22"/>
              </w:rPr>
            </w:pPr>
            <w:r w:rsidRPr="4EC0B56F">
              <w:rPr>
                <w:rFonts w:ascii="Lato" w:hAnsi="Lato" w:cs="Mangal"/>
                <w:sz w:val="22"/>
                <w:szCs w:val="22"/>
              </w:rPr>
              <w:t>Author</w:t>
            </w:r>
          </w:p>
        </w:tc>
        <w:tc>
          <w:tcPr>
            <w:tcW w:w="2062" w:type="dxa"/>
            <w:tcBorders>
              <w:bottom w:val="single" w:sz="4" w:space="0" w:color="000000" w:themeColor="text1"/>
            </w:tcBorders>
            <w:shd w:val="clear" w:color="auto" w:fill="D5E0E1"/>
          </w:tcPr>
          <w:p w14:paraId="4480B6AE" w14:textId="77777777" w:rsidR="008742CD" w:rsidRPr="005E601E" w:rsidRDefault="64CDD111" w:rsidP="4EC0B56F">
            <w:pPr>
              <w:jc w:val="both"/>
              <w:rPr>
                <w:rFonts w:ascii="Lato" w:hAnsi="Lato" w:cs="Mangal"/>
                <w:sz w:val="22"/>
                <w:szCs w:val="22"/>
              </w:rPr>
            </w:pPr>
            <w:r w:rsidRPr="4EC0B56F">
              <w:rPr>
                <w:rFonts w:ascii="Lato" w:hAnsi="Lato" w:cs="Mangal"/>
                <w:sz w:val="22"/>
                <w:szCs w:val="22"/>
              </w:rPr>
              <w:t>Reviewer</w:t>
            </w:r>
          </w:p>
        </w:tc>
        <w:tc>
          <w:tcPr>
            <w:tcW w:w="2062" w:type="dxa"/>
            <w:tcBorders>
              <w:bottom w:val="single" w:sz="4" w:space="0" w:color="000000" w:themeColor="text1"/>
            </w:tcBorders>
            <w:shd w:val="clear" w:color="auto" w:fill="D5E0E1"/>
          </w:tcPr>
          <w:p w14:paraId="0070321C" w14:textId="77777777" w:rsidR="008742CD" w:rsidRPr="005E601E" w:rsidRDefault="64CDD111" w:rsidP="4EC0B56F">
            <w:pPr>
              <w:jc w:val="both"/>
              <w:rPr>
                <w:rFonts w:ascii="Lato" w:hAnsi="Lato" w:cs="Mangal"/>
                <w:sz w:val="22"/>
                <w:szCs w:val="22"/>
              </w:rPr>
            </w:pPr>
            <w:r w:rsidRPr="4EC0B56F">
              <w:rPr>
                <w:rFonts w:ascii="Lato" w:hAnsi="Lato" w:cs="Mangal"/>
                <w:sz w:val="22"/>
                <w:szCs w:val="22"/>
              </w:rPr>
              <w:t>Approver</w:t>
            </w:r>
          </w:p>
        </w:tc>
      </w:tr>
      <w:tr w:rsidR="00994C06" w:rsidRPr="005E601E" w14:paraId="52E56223" w14:textId="77777777" w:rsidTr="4EC0B56F">
        <w:tc>
          <w:tcPr>
            <w:tcW w:w="2061" w:type="dxa"/>
            <w:shd w:val="clear" w:color="auto" w:fill="auto"/>
          </w:tcPr>
          <w:p w14:paraId="07547A01" w14:textId="2704EAC8" w:rsidR="000F4917" w:rsidRPr="005E601E" w:rsidRDefault="75988E4A" w:rsidP="4EC0B56F">
            <w:pPr>
              <w:jc w:val="both"/>
              <w:rPr>
                <w:rFonts w:ascii="Lato" w:hAnsi="Lato" w:cs="Mangal"/>
                <w:sz w:val="22"/>
                <w:szCs w:val="22"/>
              </w:rPr>
            </w:pPr>
            <w:r w:rsidRPr="4EC0B56F">
              <w:rPr>
                <w:rFonts w:ascii="Lato" w:hAnsi="Lato" w:cs="Mangal"/>
                <w:sz w:val="22"/>
                <w:szCs w:val="22"/>
              </w:rPr>
              <w:t>1</w:t>
            </w:r>
          </w:p>
        </w:tc>
        <w:tc>
          <w:tcPr>
            <w:tcW w:w="2062" w:type="dxa"/>
            <w:shd w:val="clear" w:color="auto" w:fill="auto"/>
          </w:tcPr>
          <w:p w14:paraId="5043CB0F" w14:textId="77777777" w:rsidR="000F4917" w:rsidRPr="005E601E" w:rsidRDefault="000F4917" w:rsidP="4EC0B56F">
            <w:pPr>
              <w:jc w:val="both"/>
              <w:rPr>
                <w:rFonts w:ascii="Lato" w:hAnsi="Lato" w:cs="Mangal"/>
                <w:sz w:val="22"/>
                <w:szCs w:val="22"/>
              </w:rPr>
            </w:pPr>
          </w:p>
        </w:tc>
        <w:tc>
          <w:tcPr>
            <w:tcW w:w="2061" w:type="dxa"/>
            <w:shd w:val="clear" w:color="auto" w:fill="auto"/>
          </w:tcPr>
          <w:p w14:paraId="07459315" w14:textId="11750CE9" w:rsidR="000F4917" w:rsidRPr="005E601E" w:rsidRDefault="75988E4A" w:rsidP="4EC0B56F">
            <w:pPr>
              <w:jc w:val="both"/>
              <w:rPr>
                <w:rFonts w:ascii="Lato" w:hAnsi="Lato" w:cs="Mangal"/>
                <w:sz w:val="22"/>
                <w:szCs w:val="22"/>
              </w:rPr>
            </w:pPr>
            <w:r w:rsidRPr="4EC0B56F">
              <w:rPr>
                <w:rFonts w:ascii="Lato" w:hAnsi="Lato" w:cs="Mangal"/>
                <w:sz w:val="22"/>
                <w:szCs w:val="22"/>
              </w:rPr>
              <w:t>Laura Jones</w:t>
            </w:r>
          </w:p>
        </w:tc>
        <w:tc>
          <w:tcPr>
            <w:tcW w:w="2062" w:type="dxa"/>
            <w:shd w:val="clear" w:color="auto" w:fill="auto"/>
          </w:tcPr>
          <w:p w14:paraId="6537F28F" w14:textId="77777777" w:rsidR="000F4917" w:rsidRPr="005E601E" w:rsidRDefault="000F4917" w:rsidP="4EC0B56F">
            <w:pPr>
              <w:jc w:val="both"/>
              <w:rPr>
                <w:rFonts w:ascii="Lato" w:hAnsi="Lato" w:cs="Mangal"/>
                <w:sz w:val="22"/>
                <w:szCs w:val="22"/>
              </w:rPr>
            </w:pPr>
          </w:p>
        </w:tc>
        <w:tc>
          <w:tcPr>
            <w:tcW w:w="2062" w:type="dxa"/>
            <w:shd w:val="clear" w:color="auto" w:fill="auto"/>
          </w:tcPr>
          <w:p w14:paraId="6DFB9E20" w14:textId="77777777" w:rsidR="000F4917" w:rsidRPr="005E601E" w:rsidRDefault="000F4917" w:rsidP="4EC0B56F">
            <w:pPr>
              <w:jc w:val="both"/>
              <w:rPr>
                <w:rFonts w:ascii="Lato" w:hAnsi="Lato" w:cs="Mangal"/>
                <w:sz w:val="22"/>
                <w:szCs w:val="22"/>
              </w:rPr>
            </w:pPr>
          </w:p>
        </w:tc>
      </w:tr>
    </w:tbl>
    <w:p w14:paraId="70DF9E56" w14:textId="77777777" w:rsidR="00A719CD" w:rsidRPr="005E601E" w:rsidRDefault="00A719CD" w:rsidP="4EC0B56F">
      <w:pPr>
        <w:jc w:val="both"/>
        <w:rPr>
          <w:rFonts w:ascii="Lato" w:hAnsi="Lato"/>
          <w:sz w:val="22"/>
          <w:szCs w:val="22"/>
        </w:rPr>
      </w:pPr>
    </w:p>
    <w:p w14:paraId="44E871BC" w14:textId="77777777" w:rsidR="00E73935" w:rsidRPr="005E601E" w:rsidRDefault="00E73935" w:rsidP="4EC0B56F">
      <w:pPr>
        <w:ind w:left="1080"/>
        <w:jc w:val="both"/>
        <w:rPr>
          <w:rFonts w:ascii="Lato" w:hAnsi="Lato"/>
          <w:b/>
          <w:bCs/>
          <w:sz w:val="22"/>
          <w:szCs w:val="22"/>
        </w:rPr>
      </w:pPr>
    </w:p>
    <w:sectPr w:rsidR="00E73935" w:rsidRPr="005E601E" w:rsidSect="00BB6541">
      <w:footerReference w:type="default" r:id="rId11"/>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584EC" w14:textId="77777777" w:rsidR="0068582C" w:rsidRDefault="0068582C" w:rsidP="00CB745D">
      <w:r>
        <w:separator/>
      </w:r>
    </w:p>
  </w:endnote>
  <w:endnote w:type="continuationSeparator" w:id="0">
    <w:p w14:paraId="1E6175F3" w14:textId="77777777" w:rsidR="0068582C" w:rsidRDefault="0068582C"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71D9D" w14:textId="77777777" w:rsidR="0068582C" w:rsidRDefault="0068582C" w:rsidP="00CB745D">
      <w:r>
        <w:separator/>
      </w:r>
    </w:p>
  </w:footnote>
  <w:footnote w:type="continuationSeparator" w:id="0">
    <w:p w14:paraId="19DA4E93" w14:textId="77777777" w:rsidR="0068582C" w:rsidRDefault="0068582C"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0244D"/>
    <w:multiLevelType w:val="hybridMultilevel"/>
    <w:tmpl w:val="99C0E1BA"/>
    <w:lvl w:ilvl="0" w:tplc="28EC4592">
      <w:start w:val="1"/>
      <w:numFmt w:val="bullet"/>
      <w:lvlText w:val=""/>
      <w:lvlJc w:val="left"/>
      <w:pPr>
        <w:ind w:left="720" w:hanging="360"/>
      </w:pPr>
      <w:rPr>
        <w:rFonts w:ascii="Symbol" w:hAnsi="Symbol" w:hint="default"/>
      </w:rPr>
    </w:lvl>
    <w:lvl w:ilvl="1" w:tplc="831EAFAC">
      <w:start w:val="1"/>
      <w:numFmt w:val="bullet"/>
      <w:lvlText w:val="o"/>
      <w:lvlJc w:val="left"/>
      <w:pPr>
        <w:ind w:left="1440" w:hanging="360"/>
      </w:pPr>
      <w:rPr>
        <w:rFonts w:ascii="Courier New" w:hAnsi="Courier New" w:hint="default"/>
      </w:rPr>
    </w:lvl>
    <w:lvl w:ilvl="2" w:tplc="CB6EF8B6">
      <w:start w:val="1"/>
      <w:numFmt w:val="bullet"/>
      <w:lvlText w:val=""/>
      <w:lvlJc w:val="left"/>
      <w:pPr>
        <w:ind w:left="2160" w:hanging="360"/>
      </w:pPr>
      <w:rPr>
        <w:rFonts w:ascii="Wingdings" w:hAnsi="Wingdings" w:hint="default"/>
      </w:rPr>
    </w:lvl>
    <w:lvl w:ilvl="3" w:tplc="1F3EEC2E">
      <w:start w:val="1"/>
      <w:numFmt w:val="bullet"/>
      <w:lvlText w:val=""/>
      <w:lvlJc w:val="left"/>
      <w:pPr>
        <w:ind w:left="2880" w:hanging="360"/>
      </w:pPr>
      <w:rPr>
        <w:rFonts w:ascii="Symbol" w:hAnsi="Symbol" w:hint="default"/>
      </w:rPr>
    </w:lvl>
    <w:lvl w:ilvl="4" w:tplc="5C4083B8">
      <w:start w:val="1"/>
      <w:numFmt w:val="bullet"/>
      <w:lvlText w:val="o"/>
      <w:lvlJc w:val="left"/>
      <w:pPr>
        <w:ind w:left="3600" w:hanging="360"/>
      </w:pPr>
      <w:rPr>
        <w:rFonts w:ascii="Courier New" w:hAnsi="Courier New" w:hint="default"/>
      </w:rPr>
    </w:lvl>
    <w:lvl w:ilvl="5" w:tplc="8B526958">
      <w:start w:val="1"/>
      <w:numFmt w:val="bullet"/>
      <w:lvlText w:val=""/>
      <w:lvlJc w:val="left"/>
      <w:pPr>
        <w:ind w:left="4320" w:hanging="360"/>
      </w:pPr>
      <w:rPr>
        <w:rFonts w:ascii="Wingdings" w:hAnsi="Wingdings" w:hint="default"/>
      </w:rPr>
    </w:lvl>
    <w:lvl w:ilvl="6" w:tplc="BA68C830">
      <w:start w:val="1"/>
      <w:numFmt w:val="bullet"/>
      <w:lvlText w:val=""/>
      <w:lvlJc w:val="left"/>
      <w:pPr>
        <w:ind w:left="5040" w:hanging="360"/>
      </w:pPr>
      <w:rPr>
        <w:rFonts w:ascii="Symbol" w:hAnsi="Symbol" w:hint="default"/>
      </w:rPr>
    </w:lvl>
    <w:lvl w:ilvl="7" w:tplc="72906F40">
      <w:start w:val="1"/>
      <w:numFmt w:val="bullet"/>
      <w:lvlText w:val="o"/>
      <w:lvlJc w:val="left"/>
      <w:pPr>
        <w:ind w:left="5760" w:hanging="360"/>
      </w:pPr>
      <w:rPr>
        <w:rFonts w:ascii="Courier New" w:hAnsi="Courier New" w:hint="default"/>
      </w:rPr>
    </w:lvl>
    <w:lvl w:ilvl="8" w:tplc="6734CF94">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FAE98"/>
    <w:multiLevelType w:val="hybridMultilevel"/>
    <w:tmpl w:val="6DCE169C"/>
    <w:lvl w:ilvl="0" w:tplc="9C7854F2">
      <w:start w:val="1"/>
      <w:numFmt w:val="bullet"/>
      <w:lvlText w:val=""/>
      <w:lvlJc w:val="left"/>
      <w:pPr>
        <w:ind w:left="720" w:hanging="360"/>
      </w:pPr>
      <w:rPr>
        <w:rFonts w:ascii="Symbol" w:hAnsi="Symbol" w:hint="default"/>
      </w:rPr>
    </w:lvl>
    <w:lvl w:ilvl="1" w:tplc="2086370A">
      <w:start w:val="1"/>
      <w:numFmt w:val="bullet"/>
      <w:lvlText w:val="o"/>
      <w:lvlJc w:val="left"/>
      <w:pPr>
        <w:ind w:left="1440" w:hanging="360"/>
      </w:pPr>
      <w:rPr>
        <w:rFonts w:ascii="Courier New" w:hAnsi="Courier New" w:hint="default"/>
      </w:rPr>
    </w:lvl>
    <w:lvl w:ilvl="2" w:tplc="DB00492E">
      <w:start w:val="1"/>
      <w:numFmt w:val="bullet"/>
      <w:lvlText w:val=""/>
      <w:lvlJc w:val="left"/>
      <w:pPr>
        <w:ind w:left="2160" w:hanging="360"/>
      </w:pPr>
      <w:rPr>
        <w:rFonts w:ascii="Wingdings" w:hAnsi="Wingdings" w:hint="default"/>
      </w:rPr>
    </w:lvl>
    <w:lvl w:ilvl="3" w:tplc="F6A6D2FA">
      <w:start w:val="1"/>
      <w:numFmt w:val="bullet"/>
      <w:lvlText w:val=""/>
      <w:lvlJc w:val="left"/>
      <w:pPr>
        <w:ind w:left="2880" w:hanging="360"/>
      </w:pPr>
      <w:rPr>
        <w:rFonts w:ascii="Symbol" w:hAnsi="Symbol" w:hint="default"/>
      </w:rPr>
    </w:lvl>
    <w:lvl w:ilvl="4" w:tplc="80D01854">
      <w:start w:val="1"/>
      <w:numFmt w:val="bullet"/>
      <w:lvlText w:val="o"/>
      <w:lvlJc w:val="left"/>
      <w:pPr>
        <w:ind w:left="3600" w:hanging="360"/>
      </w:pPr>
      <w:rPr>
        <w:rFonts w:ascii="Courier New" w:hAnsi="Courier New" w:hint="default"/>
      </w:rPr>
    </w:lvl>
    <w:lvl w:ilvl="5" w:tplc="D660AC14">
      <w:start w:val="1"/>
      <w:numFmt w:val="bullet"/>
      <w:lvlText w:val=""/>
      <w:lvlJc w:val="left"/>
      <w:pPr>
        <w:ind w:left="4320" w:hanging="360"/>
      </w:pPr>
      <w:rPr>
        <w:rFonts w:ascii="Wingdings" w:hAnsi="Wingdings" w:hint="default"/>
      </w:rPr>
    </w:lvl>
    <w:lvl w:ilvl="6" w:tplc="1D56DF1A">
      <w:start w:val="1"/>
      <w:numFmt w:val="bullet"/>
      <w:lvlText w:val=""/>
      <w:lvlJc w:val="left"/>
      <w:pPr>
        <w:ind w:left="5040" w:hanging="360"/>
      </w:pPr>
      <w:rPr>
        <w:rFonts w:ascii="Symbol" w:hAnsi="Symbol" w:hint="default"/>
      </w:rPr>
    </w:lvl>
    <w:lvl w:ilvl="7" w:tplc="6A8E232A">
      <w:start w:val="1"/>
      <w:numFmt w:val="bullet"/>
      <w:lvlText w:val="o"/>
      <w:lvlJc w:val="left"/>
      <w:pPr>
        <w:ind w:left="5760" w:hanging="360"/>
      </w:pPr>
      <w:rPr>
        <w:rFonts w:ascii="Courier New" w:hAnsi="Courier New" w:hint="default"/>
      </w:rPr>
    </w:lvl>
    <w:lvl w:ilvl="8" w:tplc="53B81682">
      <w:start w:val="1"/>
      <w:numFmt w:val="bullet"/>
      <w:lvlText w:val=""/>
      <w:lvlJc w:val="left"/>
      <w:pPr>
        <w:ind w:left="6480" w:hanging="360"/>
      </w:pPr>
      <w:rPr>
        <w:rFonts w:ascii="Wingdings" w:hAnsi="Wingdings" w:hint="default"/>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207C41"/>
    <w:multiLevelType w:val="hybridMultilevel"/>
    <w:tmpl w:val="2324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6CA47"/>
    <w:multiLevelType w:val="hybridMultilevel"/>
    <w:tmpl w:val="A1BE8906"/>
    <w:lvl w:ilvl="0" w:tplc="34AE6134">
      <w:start w:val="1"/>
      <w:numFmt w:val="bullet"/>
      <w:lvlText w:val=""/>
      <w:lvlJc w:val="left"/>
      <w:pPr>
        <w:ind w:left="720" w:hanging="360"/>
      </w:pPr>
      <w:rPr>
        <w:rFonts w:ascii="Symbol" w:hAnsi="Symbol" w:hint="default"/>
      </w:rPr>
    </w:lvl>
    <w:lvl w:ilvl="1" w:tplc="7CF06A12">
      <w:start w:val="1"/>
      <w:numFmt w:val="bullet"/>
      <w:lvlText w:val="o"/>
      <w:lvlJc w:val="left"/>
      <w:pPr>
        <w:ind w:left="1440" w:hanging="360"/>
      </w:pPr>
      <w:rPr>
        <w:rFonts w:ascii="Courier New" w:hAnsi="Courier New" w:hint="default"/>
      </w:rPr>
    </w:lvl>
    <w:lvl w:ilvl="2" w:tplc="CE123294">
      <w:start w:val="1"/>
      <w:numFmt w:val="bullet"/>
      <w:lvlText w:val=""/>
      <w:lvlJc w:val="left"/>
      <w:pPr>
        <w:ind w:left="2160" w:hanging="360"/>
      </w:pPr>
      <w:rPr>
        <w:rFonts w:ascii="Wingdings" w:hAnsi="Wingdings" w:hint="default"/>
      </w:rPr>
    </w:lvl>
    <w:lvl w:ilvl="3" w:tplc="E51C297A">
      <w:start w:val="1"/>
      <w:numFmt w:val="bullet"/>
      <w:lvlText w:val=""/>
      <w:lvlJc w:val="left"/>
      <w:pPr>
        <w:ind w:left="2880" w:hanging="360"/>
      </w:pPr>
      <w:rPr>
        <w:rFonts w:ascii="Symbol" w:hAnsi="Symbol" w:hint="default"/>
      </w:rPr>
    </w:lvl>
    <w:lvl w:ilvl="4" w:tplc="A11C5C7A">
      <w:start w:val="1"/>
      <w:numFmt w:val="bullet"/>
      <w:lvlText w:val="o"/>
      <w:lvlJc w:val="left"/>
      <w:pPr>
        <w:ind w:left="3600" w:hanging="360"/>
      </w:pPr>
      <w:rPr>
        <w:rFonts w:ascii="Courier New" w:hAnsi="Courier New" w:hint="default"/>
      </w:rPr>
    </w:lvl>
    <w:lvl w:ilvl="5" w:tplc="21D44534">
      <w:start w:val="1"/>
      <w:numFmt w:val="bullet"/>
      <w:lvlText w:val=""/>
      <w:lvlJc w:val="left"/>
      <w:pPr>
        <w:ind w:left="4320" w:hanging="360"/>
      </w:pPr>
      <w:rPr>
        <w:rFonts w:ascii="Wingdings" w:hAnsi="Wingdings" w:hint="default"/>
      </w:rPr>
    </w:lvl>
    <w:lvl w:ilvl="6" w:tplc="67E8AB24">
      <w:start w:val="1"/>
      <w:numFmt w:val="bullet"/>
      <w:lvlText w:val=""/>
      <w:lvlJc w:val="left"/>
      <w:pPr>
        <w:ind w:left="5040" w:hanging="360"/>
      </w:pPr>
      <w:rPr>
        <w:rFonts w:ascii="Symbol" w:hAnsi="Symbol" w:hint="default"/>
      </w:rPr>
    </w:lvl>
    <w:lvl w:ilvl="7" w:tplc="08AAD600">
      <w:start w:val="1"/>
      <w:numFmt w:val="bullet"/>
      <w:lvlText w:val="o"/>
      <w:lvlJc w:val="left"/>
      <w:pPr>
        <w:ind w:left="5760" w:hanging="360"/>
      </w:pPr>
      <w:rPr>
        <w:rFonts w:ascii="Courier New" w:hAnsi="Courier New" w:hint="default"/>
      </w:rPr>
    </w:lvl>
    <w:lvl w:ilvl="8" w:tplc="5CE40B5C">
      <w:start w:val="1"/>
      <w:numFmt w:val="bullet"/>
      <w:lvlText w:val=""/>
      <w:lvlJc w:val="left"/>
      <w:pPr>
        <w:ind w:left="6480" w:hanging="360"/>
      </w:pPr>
      <w:rPr>
        <w:rFonts w:ascii="Wingdings" w:hAnsi="Wingdings" w:hint="default"/>
      </w:rPr>
    </w:lvl>
  </w:abstractNum>
  <w:abstractNum w:abstractNumId="11" w15:restartNumberingAfterBreak="0">
    <w:nsid w:val="4B60E06A"/>
    <w:multiLevelType w:val="hybridMultilevel"/>
    <w:tmpl w:val="78469FCA"/>
    <w:lvl w:ilvl="0" w:tplc="B756F6E4">
      <w:start w:val="1"/>
      <w:numFmt w:val="bullet"/>
      <w:lvlText w:val=""/>
      <w:lvlJc w:val="left"/>
      <w:pPr>
        <w:ind w:left="720" w:hanging="360"/>
      </w:pPr>
      <w:rPr>
        <w:rFonts w:ascii="Symbol" w:hAnsi="Symbol" w:hint="default"/>
      </w:rPr>
    </w:lvl>
    <w:lvl w:ilvl="1" w:tplc="4CCEE7E4">
      <w:start w:val="1"/>
      <w:numFmt w:val="bullet"/>
      <w:lvlText w:val="o"/>
      <w:lvlJc w:val="left"/>
      <w:pPr>
        <w:ind w:left="1440" w:hanging="360"/>
      </w:pPr>
      <w:rPr>
        <w:rFonts w:ascii="Courier New" w:hAnsi="Courier New" w:hint="default"/>
      </w:rPr>
    </w:lvl>
    <w:lvl w:ilvl="2" w:tplc="93104502">
      <w:start w:val="1"/>
      <w:numFmt w:val="bullet"/>
      <w:lvlText w:val=""/>
      <w:lvlJc w:val="left"/>
      <w:pPr>
        <w:ind w:left="2160" w:hanging="360"/>
      </w:pPr>
      <w:rPr>
        <w:rFonts w:ascii="Wingdings" w:hAnsi="Wingdings" w:hint="default"/>
      </w:rPr>
    </w:lvl>
    <w:lvl w:ilvl="3" w:tplc="E576A45A">
      <w:start w:val="1"/>
      <w:numFmt w:val="bullet"/>
      <w:lvlText w:val=""/>
      <w:lvlJc w:val="left"/>
      <w:pPr>
        <w:ind w:left="2880" w:hanging="360"/>
      </w:pPr>
      <w:rPr>
        <w:rFonts w:ascii="Symbol" w:hAnsi="Symbol" w:hint="default"/>
      </w:rPr>
    </w:lvl>
    <w:lvl w:ilvl="4" w:tplc="9BEE8A58">
      <w:start w:val="1"/>
      <w:numFmt w:val="bullet"/>
      <w:lvlText w:val="o"/>
      <w:lvlJc w:val="left"/>
      <w:pPr>
        <w:ind w:left="3600" w:hanging="360"/>
      </w:pPr>
      <w:rPr>
        <w:rFonts w:ascii="Courier New" w:hAnsi="Courier New" w:hint="default"/>
      </w:rPr>
    </w:lvl>
    <w:lvl w:ilvl="5" w:tplc="B9E89332">
      <w:start w:val="1"/>
      <w:numFmt w:val="bullet"/>
      <w:lvlText w:val=""/>
      <w:lvlJc w:val="left"/>
      <w:pPr>
        <w:ind w:left="4320" w:hanging="360"/>
      </w:pPr>
      <w:rPr>
        <w:rFonts w:ascii="Wingdings" w:hAnsi="Wingdings" w:hint="default"/>
      </w:rPr>
    </w:lvl>
    <w:lvl w:ilvl="6" w:tplc="7AA6A3EE">
      <w:start w:val="1"/>
      <w:numFmt w:val="bullet"/>
      <w:lvlText w:val=""/>
      <w:lvlJc w:val="left"/>
      <w:pPr>
        <w:ind w:left="5040" w:hanging="360"/>
      </w:pPr>
      <w:rPr>
        <w:rFonts w:ascii="Symbol" w:hAnsi="Symbol" w:hint="default"/>
      </w:rPr>
    </w:lvl>
    <w:lvl w:ilvl="7" w:tplc="7EE48B0C">
      <w:start w:val="1"/>
      <w:numFmt w:val="bullet"/>
      <w:lvlText w:val="o"/>
      <w:lvlJc w:val="left"/>
      <w:pPr>
        <w:ind w:left="5760" w:hanging="360"/>
      </w:pPr>
      <w:rPr>
        <w:rFonts w:ascii="Courier New" w:hAnsi="Courier New" w:hint="default"/>
      </w:rPr>
    </w:lvl>
    <w:lvl w:ilvl="8" w:tplc="C2667782">
      <w:start w:val="1"/>
      <w:numFmt w:val="bullet"/>
      <w:lvlText w:val=""/>
      <w:lvlJc w:val="left"/>
      <w:pPr>
        <w:ind w:left="6480" w:hanging="360"/>
      </w:pPr>
      <w:rPr>
        <w:rFonts w:ascii="Wingdings" w:hAnsi="Wingdings" w:hint="default"/>
      </w:rPr>
    </w:lvl>
  </w:abstractNum>
  <w:abstractNum w:abstractNumId="12" w15:restartNumberingAfterBreak="0">
    <w:nsid w:val="4D7D062C"/>
    <w:multiLevelType w:val="hybridMultilevel"/>
    <w:tmpl w:val="F3442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9F587A"/>
    <w:multiLevelType w:val="hybridMultilevel"/>
    <w:tmpl w:val="FC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253D7"/>
    <w:multiLevelType w:val="hybridMultilevel"/>
    <w:tmpl w:val="D6B8C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0A0D2"/>
    <w:multiLevelType w:val="hybridMultilevel"/>
    <w:tmpl w:val="17765C10"/>
    <w:lvl w:ilvl="0" w:tplc="6F628D8E">
      <w:start w:val="1"/>
      <w:numFmt w:val="bullet"/>
      <w:lvlText w:val=""/>
      <w:lvlJc w:val="left"/>
      <w:pPr>
        <w:ind w:left="720" w:hanging="360"/>
      </w:pPr>
      <w:rPr>
        <w:rFonts w:ascii="Symbol" w:hAnsi="Symbol" w:hint="default"/>
      </w:rPr>
    </w:lvl>
    <w:lvl w:ilvl="1" w:tplc="EFFE8F68">
      <w:start w:val="1"/>
      <w:numFmt w:val="bullet"/>
      <w:lvlText w:val="o"/>
      <w:lvlJc w:val="left"/>
      <w:pPr>
        <w:ind w:left="1440" w:hanging="360"/>
      </w:pPr>
      <w:rPr>
        <w:rFonts w:ascii="Courier New" w:hAnsi="Courier New" w:hint="default"/>
      </w:rPr>
    </w:lvl>
    <w:lvl w:ilvl="2" w:tplc="F148E4DE">
      <w:start w:val="1"/>
      <w:numFmt w:val="bullet"/>
      <w:lvlText w:val=""/>
      <w:lvlJc w:val="left"/>
      <w:pPr>
        <w:ind w:left="2160" w:hanging="360"/>
      </w:pPr>
      <w:rPr>
        <w:rFonts w:ascii="Wingdings" w:hAnsi="Wingdings" w:hint="default"/>
      </w:rPr>
    </w:lvl>
    <w:lvl w:ilvl="3" w:tplc="D4B49FEE">
      <w:start w:val="1"/>
      <w:numFmt w:val="bullet"/>
      <w:lvlText w:val=""/>
      <w:lvlJc w:val="left"/>
      <w:pPr>
        <w:ind w:left="2880" w:hanging="360"/>
      </w:pPr>
      <w:rPr>
        <w:rFonts w:ascii="Symbol" w:hAnsi="Symbol" w:hint="default"/>
      </w:rPr>
    </w:lvl>
    <w:lvl w:ilvl="4" w:tplc="0414B314">
      <w:start w:val="1"/>
      <w:numFmt w:val="bullet"/>
      <w:lvlText w:val="o"/>
      <w:lvlJc w:val="left"/>
      <w:pPr>
        <w:ind w:left="3600" w:hanging="360"/>
      </w:pPr>
      <w:rPr>
        <w:rFonts w:ascii="Courier New" w:hAnsi="Courier New" w:hint="default"/>
      </w:rPr>
    </w:lvl>
    <w:lvl w:ilvl="5" w:tplc="B50E48A0">
      <w:start w:val="1"/>
      <w:numFmt w:val="bullet"/>
      <w:lvlText w:val=""/>
      <w:lvlJc w:val="left"/>
      <w:pPr>
        <w:ind w:left="4320" w:hanging="360"/>
      </w:pPr>
      <w:rPr>
        <w:rFonts w:ascii="Wingdings" w:hAnsi="Wingdings" w:hint="default"/>
      </w:rPr>
    </w:lvl>
    <w:lvl w:ilvl="6" w:tplc="AF1AE3BC">
      <w:start w:val="1"/>
      <w:numFmt w:val="bullet"/>
      <w:lvlText w:val=""/>
      <w:lvlJc w:val="left"/>
      <w:pPr>
        <w:ind w:left="5040" w:hanging="360"/>
      </w:pPr>
      <w:rPr>
        <w:rFonts w:ascii="Symbol" w:hAnsi="Symbol" w:hint="default"/>
      </w:rPr>
    </w:lvl>
    <w:lvl w:ilvl="7" w:tplc="2DAA3074">
      <w:start w:val="1"/>
      <w:numFmt w:val="bullet"/>
      <w:lvlText w:val="o"/>
      <w:lvlJc w:val="left"/>
      <w:pPr>
        <w:ind w:left="5760" w:hanging="360"/>
      </w:pPr>
      <w:rPr>
        <w:rFonts w:ascii="Courier New" w:hAnsi="Courier New" w:hint="default"/>
      </w:rPr>
    </w:lvl>
    <w:lvl w:ilvl="8" w:tplc="391A2A42">
      <w:start w:val="1"/>
      <w:numFmt w:val="bullet"/>
      <w:lvlText w:val=""/>
      <w:lvlJc w:val="left"/>
      <w:pPr>
        <w:ind w:left="6480" w:hanging="360"/>
      </w:pPr>
      <w:rPr>
        <w:rFonts w:ascii="Wingdings" w:hAnsi="Wingdings" w:hint="default"/>
      </w:rPr>
    </w:lvl>
  </w:abstractNum>
  <w:num w:numId="1" w16cid:durableId="539588350">
    <w:abstractNumId w:val="10"/>
  </w:num>
  <w:num w:numId="2" w16cid:durableId="324170810">
    <w:abstractNumId w:val="11"/>
  </w:num>
  <w:num w:numId="3" w16cid:durableId="1322662922">
    <w:abstractNumId w:val="5"/>
  </w:num>
  <w:num w:numId="4" w16cid:durableId="531965014">
    <w:abstractNumId w:val="7"/>
  </w:num>
  <w:num w:numId="5" w16cid:durableId="1931617375">
    <w:abstractNumId w:val="15"/>
  </w:num>
  <w:num w:numId="6" w16cid:durableId="875855325">
    <w:abstractNumId w:val="8"/>
  </w:num>
  <w:num w:numId="7" w16cid:durableId="1572888300">
    <w:abstractNumId w:val="4"/>
  </w:num>
  <w:num w:numId="8" w16cid:durableId="1375159632">
    <w:abstractNumId w:val="0"/>
  </w:num>
  <w:num w:numId="9" w16cid:durableId="1113743889">
    <w:abstractNumId w:val="1"/>
  </w:num>
  <w:num w:numId="10" w16cid:durableId="1867016683">
    <w:abstractNumId w:val="2"/>
  </w:num>
  <w:num w:numId="11" w16cid:durableId="510224154">
    <w:abstractNumId w:val="3"/>
  </w:num>
  <w:num w:numId="12" w16cid:durableId="504318341">
    <w:abstractNumId w:val="6"/>
  </w:num>
  <w:num w:numId="13" w16cid:durableId="1157186623">
    <w:abstractNumId w:val="13"/>
  </w:num>
  <w:num w:numId="14" w16cid:durableId="2051689449">
    <w:abstractNumId w:val="14"/>
  </w:num>
  <w:num w:numId="15" w16cid:durableId="2089766884">
    <w:abstractNumId w:val="9"/>
  </w:num>
  <w:num w:numId="16" w16cid:durableId="5267972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04966"/>
    <w:rsid w:val="00032E70"/>
    <w:rsid w:val="00033EB6"/>
    <w:rsid w:val="0004492D"/>
    <w:rsid w:val="00050253"/>
    <w:rsid w:val="00053FF7"/>
    <w:rsid w:val="000703CA"/>
    <w:rsid w:val="000713F4"/>
    <w:rsid w:val="00072577"/>
    <w:rsid w:val="00073810"/>
    <w:rsid w:val="000C646A"/>
    <w:rsid w:val="000C7193"/>
    <w:rsid w:val="000E090C"/>
    <w:rsid w:val="000E5221"/>
    <w:rsid w:val="000E6651"/>
    <w:rsid w:val="000F4917"/>
    <w:rsid w:val="00106783"/>
    <w:rsid w:val="0011289B"/>
    <w:rsid w:val="001217A8"/>
    <w:rsid w:val="00134454"/>
    <w:rsid w:val="00134819"/>
    <w:rsid w:val="0015215B"/>
    <w:rsid w:val="001564AB"/>
    <w:rsid w:val="00185184"/>
    <w:rsid w:val="00196601"/>
    <w:rsid w:val="001A3DD2"/>
    <w:rsid w:val="001B1770"/>
    <w:rsid w:val="001C5FEB"/>
    <w:rsid w:val="001C70D5"/>
    <w:rsid w:val="001C752E"/>
    <w:rsid w:val="001D32DA"/>
    <w:rsid w:val="001E1FCD"/>
    <w:rsid w:val="001E7BB3"/>
    <w:rsid w:val="00206261"/>
    <w:rsid w:val="00213205"/>
    <w:rsid w:val="00225333"/>
    <w:rsid w:val="0023115A"/>
    <w:rsid w:val="00233759"/>
    <w:rsid w:val="00233FBE"/>
    <w:rsid w:val="00241EBD"/>
    <w:rsid w:val="00245103"/>
    <w:rsid w:val="002528ED"/>
    <w:rsid w:val="0026237B"/>
    <w:rsid w:val="00267FE8"/>
    <w:rsid w:val="002776C1"/>
    <w:rsid w:val="00277AAE"/>
    <w:rsid w:val="00284CEC"/>
    <w:rsid w:val="002948EC"/>
    <w:rsid w:val="00294FF9"/>
    <w:rsid w:val="002D60FB"/>
    <w:rsid w:val="002E64D8"/>
    <w:rsid w:val="002F4A18"/>
    <w:rsid w:val="002F5970"/>
    <w:rsid w:val="00313FC5"/>
    <w:rsid w:val="00327188"/>
    <w:rsid w:val="00332711"/>
    <w:rsid w:val="003370FE"/>
    <w:rsid w:val="003678A2"/>
    <w:rsid w:val="003C3A8B"/>
    <w:rsid w:val="003D07D3"/>
    <w:rsid w:val="003D5726"/>
    <w:rsid w:val="003E14EE"/>
    <w:rsid w:val="00400C5B"/>
    <w:rsid w:val="004078DD"/>
    <w:rsid w:val="00412E0E"/>
    <w:rsid w:val="00414AD6"/>
    <w:rsid w:val="0044289B"/>
    <w:rsid w:val="00462CDF"/>
    <w:rsid w:val="00464790"/>
    <w:rsid w:val="004731E8"/>
    <w:rsid w:val="00475A5E"/>
    <w:rsid w:val="004B56E0"/>
    <w:rsid w:val="004C3C89"/>
    <w:rsid w:val="004D2E50"/>
    <w:rsid w:val="004E28BD"/>
    <w:rsid w:val="004F4730"/>
    <w:rsid w:val="00505F7E"/>
    <w:rsid w:val="005359F8"/>
    <w:rsid w:val="00535B80"/>
    <w:rsid w:val="0053784E"/>
    <w:rsid w:val="005379F2"/>
    <w:rsid w:val="005434E7"/>
    <w:rsid w:val="005445B4"/>
    <w:rsid w:val="00560E4B"/>
    <w:rsid w:val="005610D1"/>
    <w:rsid w:val="0056685F"/>
    <w:rsid w:val="00573D65"/>
    <w:rsid w:val="00581EF4"/>
    <w:rsid w:val="005910F5"/>
    <w:rsid w:val="005A50FA"/>
    <w:rsid w:val="005B2D84"/>
    <w:rsid w:val="005B5FBD"/>
    <w:rsid w:val="005D3F5C"/>
    <w:rsid w:val="005D66B6"/>
    <w:rsid w:val="005E601E"/>
    <w:rsid w:val="005F23BD"/>
    <w:rsid w:val="005F57A7"/>
    <w:rsid w:val="0060037E"/>
    <w:rsid w:val="00603A61"/>
    <w:rsid w:val="00622495"/>
    <w:rsid w:val="00625CED"/>
    <w:rsid w:val="00626423"/>
    <w:rsid w:val="0064027E"/>
    <w:rsid w:val="006446E7"/>
    <w:rsid w:val="00646627"/>
    <w:rsid w:val="006519F2"/>
    <w:rsid w:val="00660777"/>
    <w:rsid w:val="00677E0F"/>
    <w:rsid w:val="00682617"/>
    <w:rsid w:val="00682F7F"/>
    <w:rsid w:val="006840F0"/>
    <w:rsid w:val="0068582C"/>
    <w:rsid w:val="006A30FE"/>
    <w:rsid w:val="006C0C3F"/>
    <w:rsid w:val="006C5DF6"/>
    <w:rsid w:val="006D1DF1"/>
    <w:rsid w:val="006E47ED"/>
    <w:rsid w:val="006F2C32"/>
    <w:rsid w:val="007403B3"/>
    <w:rsid w:val="00743D15"/>
    <w:rsid w:val="00746EA4"/>
    <w:rsid w:val="0075278E"/>
    <w:rsid w:val="00754706"/>
    <w:rsid w:val="00754E6A"/>
    <w:rsid w:val="00764D2E"/>
    <w:rsid w:val="00775181"/>
    <w:rsid w:val="007828BE"/>
    <w:rsid w:val="00792956"/>
    <w:rsid w:val="00792D87"/>
    <w:rsid w:val="007966DD"/>
    <w:rsid w:val="007A015E"/>
    <w:rsid w:val="007A2C42"/>
    <w:rsid w:val="007A3D46"/>
    <w:rsid w:val="007C14AA"/>
    <w:rsid w:val="007C2D9B"/>
    <w:rsid w:val="007D25C8"/>
    <w:rsid w:val="007D7312"/>
    <w:rsid w:val="007F2D7D"/>
    <w:rsid w:val="007F5051"/>
    <w:rsid w:val="00806587"/>
    <w:rsid w:val="00815B26"/>
    <w:rsid w:val="00827910"/>
    <w:rsid w:val="0083245E"/>
    <w:rsid w:val="00842576"/>
    <w:rsid w:val="0084261C"/>
    <w:rsid w:val="00852EEC"/>
    <w:rsid w:val="00866538"/>
    <w:rsid w:val="008742CD"/>
    <w:rsid w:val="0088087C"/>
    <w:rsid w:val="008A1691"/>
    <w:rsid w:val="008B5D4C"/>
    <w:rsid w:val="008B7F5C"/>
    <w:rsid w:val="008C5891"/>
    <w:rsid w:val="008C7123"/>
    <w:rsid w:val="008D63DA"/>
    <w:rsid w:val="008F6140"/>
    <w:rsid w:val="008F7976"/>
    <w:rsid w:val="00916715"/>
    <w:rsid w:val="00920752"/>
    <w:rsid w:val="00926A70"/>
    <w:rsid w:val="009318B6"/>
    <w:rsid w:val="009419F0"/>
    <w:rsid w:val="00943920"/>
    <w:rsid w:val="00947C69"/>
    <w:rsid w:val="009618A9"/>
    <w:rsid w:val="00963AE0"/>
    <w:rsid w:val="00971DE1"/>
    <w:rsid w:val="009854DD"/>
    <w:rsid w:val="00994C06"/>
    <w:rsid w:val="009A20A0"/>
    <w:rsid w:val="009A25BE"/>
    <w:rsid w:val="009A5476"/>
    <w:rsid w:val="009B2803"/>
    <w:rsid w:val="009C015A"/>
    <w:rsid w:val="009C59F1"/>
    <w:rsid w:val="009D3B82"/>
    <w:rsid w:val="009D4DF8"/>
    <w:rsid w:val="009D5D76"/>
    <w:rsid w:val="009E2DAC"/>
    <w:rsid w:val="009E6D6E"/>
    <w:rsid w:val="009F709C"/>
    <w:rsid w:val="00A059A3"/>
    <w:rsid w:val="00A11161"/>
    <w:rsid w:val="00A338D7"/>
    <w:rsid w:val="00A37705"/>
    <w:rsid w:val="00A41629"/>
    <w:rsid w:val="00A5455B"/>
    <w:rsid w:val="00A67C29"/>
    <w:rsid w:val="00A719CD"/>
    <w:rsid w:val="00A823D0"/>
    <w:rsid w:val="00A84BEB"/>
    <w:rsid w:val="00AC222F"/>
    <w:rsid w:val="00AC5140"/>
    <w:rsid w:val="00AD5937"/>
    <w:rsid w:val="00AF08A1"/>
    <w:rsid w:val="00B03A0F"/>
    <w:rsid w:val="00B045B5"/>
    <w:rsid w:val="00B22D75"/>
    <w:rsid w:val="00B2655B"/>
    <w:rsid w:val="00B40758"/>
    <w:rsid w:val="00B42C23"/>
    <w:rsid w:val="00B42DA0"/>
    <w:rsid w:val="00B53992"/>
    <w:rsid w:val="00B557D5"/>
    <w:rsid w:val="00B67C5E"/>
    <w:rsid w:val="00B7115A"/>
    <w:rsid w:val="00B9754A"/>
    <w:rsid w:val="00BA45F5"/>
    <w:rsid w:val="00BB1C79"/>
    <w:rsid w:val="00BB37E8"/>
    <w:rsid w:val="00BB6541"/>
    <w:rsid w:val="00BD645C"/>
    <w:rsid w:val="00BE42B8"/>
    <w:rsid w:val="00BF17A4"/>
    <w:rsid w:val="00BF54FD"/>
    <w:rsid w:val="00C11089"/>
    <w:rsid w:val="00C16734"/>
    <w:rsid w:val="00C221C8"/>
    <w:rsid w:val="00C52093"/>
    <w:rsid w:val="00C52D67"/>
    <w:rsid w:val="00C55986"/>
    <w:rsid w:val="00C6193A"/>
    <w:rsid w:val="00C8094B"/>
    <w:rsid w:val="00C81C72"/>
    <w:rsid w:val="00C84A80"/>
    <w:rsid w:val="00C939E3"/>
    <w:rsid w:val="00C9467F"/>
    <w:rsid w:val="00CB1D0F"/>
    <w:rsid w:val="00CB2682"/>
    <w:rsid w:val="00CB3933"/>
    <w:rsid w:val="00CB745D"/>
    <w:rsid w:val="00CC41A4"/>
    <w:rsid w:val="00CD7220"/>
    <w:rsid w:val="00CE0DC9"/>
    <w:rsid w:val="00CE3771"/>
    <w:rsid w:val="00CF02E2"/>
    <w:rsid w:val="00CF2C4B"/>
    <w:rsid w:val="00D00360"/>
    <w:rsid w:val="00D0645B"/>
    <w:rsid w:val="00D21693"/>
    <w:rsid w:val="00D27272"/>
    <w:rsid w:val="00D30D12"/>
    <w:rsid w:val="00D31296"/>
    <w:rsid w:val="00D36326"/>
    <w:rsid w:val="00D402D4"/>
    <w:rsid w:val="00D54F09"/>
    <w:rsid w:val="00D576E5"/>
    <w:rsid w:val="00D62F3C"/>
    <w:rsid w:val="00D66BB5"/>
    <w:rsid w:val="00D719F6"/>
    <w:rsid w:val="00D770FA"/>
    <w:rsid w:val="00D832D4"/>
    <w:rsid w:val="00D872AC"/>
    <w:rsid w:val="00D93881"/>
    <w:rsid w:val="00D97536"/>
    <w:rsid w:val="00DA0123"/>
    <w:rsid w:val="00DA4E38"/>
    <w:rsid w:val="00DC1311"/>
    <w:rsid w:val="00DC597B"/>
    <w:rsid w:val="00DE2FC7"/>
    <w:rsid w:val="00DE7E24"/>
    <w:rsid w:val="00DF1819"/>
    <w:rsid w:val="00E073D5"/>
    <w:rsid w:val="00E228B1"/>
    <w:rsid w:val="00E31215"/>
    <w:rsid w:val="00E47239"/>
    <w:rsid w:val="00E64B55"/>
    <w:rsid w:val="00E73935"/>
    <w:rsid w:val="00EA762B"/>
    <w:rsid w:val="00EB087C"/>
    <w:rsid w:val="00EB2315"/>
    <w:rsid w:val="00EB3756"/>
    <w:rsid w:val="00EC729E"/>
    <w:rsid w:val="00EE343D"/>
    <w:rsid w:val="00EE3DFB"/>
    <w:rsid w:val="00EF1F1D"/>
    <w:rsid w:val="00F00EAE"/>
    <w:rsid w:val="00F02E56"/>
    <w:rsid w:val="00F045E7"/>
    <w:rsid w:val="00F13ABA"/>
    <w:rsid w:val="00F15683"/>
    <w:rsid w:val="00F26727"/>
    <w:rsid w:val="00F30A43"/>
    <w:rsid w:val="00F64009"/>
    <w:rsid w:val="00F81509"/>
    <w:rsid w:val="00F84AC2"/>
    <w:rsid w:val="00F90282"/>
    <w:rsid w:val="00F95BD6"/>
    <w:rsid w:val="00FA6CCA"/>
    <w:rsid w:val="00FB425D"/>
    <w:rsid w:val="00FC3D17"/>
    <w:rsid w:val="00FC6507"/>
    <w:rsid w:val="00FD40F3"/>
    <w:rsid w:val="00FE12FF"/>
    <w:rsid w:val="00FE5950"/>
    <w:rsid w:val="00FF6C83"/>
    <w:rsid w:val="011F34F6"/>
    <w:rsid w:val="03F1E5E0"/>
    <w:rsid w:val="08B0A172"/>
    <w:rsid w:val="0A391E1C"/>
    <w:rsid w:val="0ADA9D08"/>
    <w:rsid w:val="0B0904F9"/>
    <w:rsid w:val="0E69C0E8"/>
    <w:rsid w:val="121D61FC"/>
    <w:rsid w:val="1331C133"/>
    <w:rsid w:val="136D3F94"/>
    <w:rsid w:val="16F8C92A"/>
    <w:rsid w:val="1710F854"/>
    <w:rsid w:val="24B7328E"/>
    <w:rsid w:val="24E75504"/>
    <w:rsid w:val="26A6A943"/>
    <w:rsid w:val="27478BD2"/>
    <w:rsid w:val="298F0F6A"/>
    <w:rsid w:val="2B5BD1BA"/>
    <w:rsid w:val="2CDE97A9"/>
    <w:rsid w:val="2D4DC51D"/>
    <w:rsid w:val="3002F1CE"/>
    <w:rsid w:val="3203FCD4"/>
    <w:rsid w:val="32EE8B8B"/>
    <w:rsid w:val="34944DA2"/>
    <w:rsid w:val="34B1A028"/>
    <w:rsid w:val="36DAAD79"/>
    <w:rsid w:val="37C3D484"/>
    <w:rsid w:val="3C4B54B2"/>
    <w:rsid w:val="3CAED153"/>
    <w:rsid w:val="3CD029D4"/>
    <w:rsid w:val="3F41E5A0"/>
    <w:rsid w:val="40A4B9A9"/>
    <w:rsid w:val="43ADA5CE"/>
    <w:rsid w:val="47297EC2"/>
    <w:rsid w:val="498921EE"/>
    <w:rsid w:val="49FE9F00"/>
    <w:rsid w:val="4AF641BE"/>
    <w:rsid w:val="4EC0B56F"/>
    <w:rsid w:val="50323903"/>
    <w:rsid w:val="5140F8C1"/>
    <w:rsid w:val="53676551"/>
    <w:rsid w:val="54D79E88"/>
    <w:rsid w:val="5511828A"/>
    <w:rsid w:val="55772836"/>
    <w:rsid w:val="570B8E28"/>
    <w:rsid w:val="571A144B"/>
    <w:rsid w:val="5740E8C4"/>
    <w:rsid w:val="5981F266"/>
    <w:rsid w:val="5A17399E"/>
    <w:rsid w:val="5AF10BAE"/>
    <w:rsid w:val="5B18AD16"/>
    <w:rsid w:val="5C178850"/>
    <w:rsid w:val="5D4D920F"/>
    <w:rsid w:val="63080545"/>
    <w:rsid w:val="64CDD111"/>
    <w:rsid w:val="650599BD"/>
    <w:rsid w:val="6546E77D"/>
    <w:rsid w:val="66ECFBB3"/>
    <w:rsid w:val="682514BF"/>
    <w:rsid w:val="6AB6BE82"/>
    <w:rsid w:val="6EE4C378"/>
    <w:rsid w:val="6F7FCCFF"/>
    <w:rsid w:val="6FE24EED"/>
    <w:rsid w:val="7319E3E5"/>
    <w:rsid w:val="75988E4A"/>
    <w:rsid w:val="7751C8AE"/>
    <w:rsid w:val="793B77DC"/>
    <w:rsid w:val="798BBD9E"/>
    <w:rsid w:val="7D92C01E"/>
    <w:rsid w:val="7EEEEBD0"/>
    <w:rsid w:val="7FA91C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5ECC7"/>
  <w15:chartTrackingRefBased/>
  <w15:docId w15:val="{A686C0DD-209D-4A75-ABDA-38B3B4E3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4EC0B56F"/>
    <w:pPr>
      <w:ind w:left="720"/>
      <w:contextualSpacing/>
    </w:pPr>
  </w:style>
  <w:style w:type="paragraph" w:styleId="NoSpacing">
    <w:name w:val="No Spacing"/>
    <w:uiPriority w:val="1"/>
    <w:qFormat/>
    <w:rsid w:val="00A4162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580C-A813-430E-A2E2-0326E5186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2A617-05A4-4AE6-9906-B5A65D8CB402}">
  <ds:schemaRefs>
    <ds:schemaRef ds:uri="http://schemas.microsoft.com/sharepoint/v3/contenttype/forms"/>
  </ds:schemaRefs>
</ds:datastoreItem>
</file>

<file path=customXml/itemProps3.xml><?xml version="1.0" encoding="utf-8"?>
<ds:datastoreItem xmlns:ds="http://schemas.openxmlformats.org/officeDocument/2006/customXml" ds:itemID="{14DF61BF-998D-4BE7-B98E-97186476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1881</Words>
  <Characters>10725</Characters>
  <Application>Microsoft Office Word</Application>
  <DocSecurity>0</DocSecurity>
  <Lines>89</Lines>
  <Paragraphs>25</Paragraphs>
  <ScaleCrop>false</ScaleCrop>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Dogan, Sinan</cp:lastModifiedBy>
  <cp:revision>4</cp:revision>
  <cp:lastPrinted>2024-07-22T22:32:00Z</cp:lastPrinted>
  <dcterms:created xsi:type="dcterms:W3CDTF">2025-01-13T13:48:00Z</dcterms:created>
  <dcterms:modified xsi:type="dcterms:W3CDTF">2025-01-13T15:20:00Z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